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1.png" ContentType="image/png"/>
  <Override PartName="/word/media/rId33.png" ContentType="image/png"/>
  <Override PartName="/word/media/rId43.png" ContentType="image/png"/>
  <Override PartName="/word/media/rId36.png" ContentType="image/png"/>
  <Override PartName="/word/media/rId38.png" ContentType="image/png"/>
  <Override PartName="/word/media/rId3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from tree-ring records of ten globally distributed forests</w:t>
      </w:r>
    </w:p>
    <w:p>
      <w:pPr>
        <w:pStyle w:val="BodyText"/>
      </w:pPr>
      <w:r>
        <w:rPr>
          <w:bCs/>
          <w:b/>
        </w:rPr>
        <w:t xml:space="preserve">Authors:</w:t>
      </w:r>
    </w:p>
    <w:p>
      <w:pPr>
        <w:pStyle w:val="BodyText"/>
      </w:pPr>
      <w:r>
        <w:t xml:space="preserve">Kristina J. Anderson-Teixeira</w:t>
      </w:r>
      <w:r>
        <w:rPr>
          <w:vertAlign w:val="superscript"/>
        </w:rPr>
        <w:t xml:space="preserve">1,2</w:t>
      </w:r>
      <w:r>
        <w:t xml:space="preserve">* ( Orcid ID : 0000-0001-8461-9713)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Christine R. Rollinson</w:t>
      </w:r>
      <w:r>
        <w:rPr>
          <w:vertAlign w:val="superscript"/>
        </w:rPr>
        <w:t xml:space="preserve">3</w:t>
      </w:r>
      <w:r>
        <w:t xml:space="preserve"> </w:t>
      </w:r>
      <w:r>
        <w:t xml:space="preserve">(Orcid ID : 0000-0003-0181-7293)</w:t>
      </w:r>
    </w:p>
    <w:p>
      <w:pPr>
        <w:pStyle w:val="BodyText"/>
      </w:pPr>
      <w:r>
        <w:t xml:space="preserve">Bianca Gonzalez</w:t>
      </w:r>
      <w:r>
        <w:rPr>
          <w:vertAlign w:val="superscript"/>
        </w:rPr>
        <w:t xml:space="preserve">1</w:t>
      </w:r>
    </w:p>
    <w:p>
      <w:pPr>
        <w:pStyle w:val="BodyText"/>
      </w:pPr>
      <w:r>
        <w:t xml:space="preserve">Erika B. Gonzalez-Akre</w:t>
      </w:r>
      <w:r>
        <w:rPr>
          <w:vertAlign w:val="superscript"/>
        </w:rPr>
        <w:t xml:space="preserve">1</w:t>
      </w:r>
      <w:r>
        <w:t xml:space="preserve"> </w:t>
      </w:r>
      <w:r>
        <w:t xml:space="preserve">( Orcid ID : 0000-0001-8305-6672)</w:t>
      </w:r>
    </w:p>
    <w:p>
      <w:pPr>
        <w:pStyle w:val="BodyText"/>
      </w:pPr>
      <w:r>
        <w:t xml:space="preserve">Neil Pederson</w:t>
      </w:r>
      <w:r>
        <w:rPr>
          <w:vertAlign w:val="superscript"/>
        </w:rPr>
        <w:t xml:space="preserve">4</w:t>
      </w:r>
      <w:r>
        <w:t xml:space="preserve"> </w:t>
      </w:r>
      <w:r>
        <w:t xml:space="preserve">(Orcid ID : 0000-0003-3830-263X)</w:t>
      </w:r>
    </w:p>
    <w:p>
      <w:pPr>
        <w:pStyle w:val="BodyText"/>
      </w:pPr>
      <w:r>
        <w:t xml:space="preserve">M. Ross Alexander</w:t>
      </w:r>
      <w:r>
        <w:rPr>
          <w:vertAlign w:val="superscript"/>
        </w:rPr>
        <w:t xml:space="preserve">5</w:t>
      </w:r>
      <w:r>
        <w:t xml:space="preserve">** ( Orcid ID : 0000-0003-1106-1100)</w:t>
      </w:r>
    </w:p>
    <w:p>
      <w:pPr>
        <w:pStyle w:val="BodyText"/>
      </w:pPr>
      <w:r>
        <w:t xml:space="preserve">Craig D. Allen</w:t>
      </w:r>
      <w:r>
        <w:rPr>
          <w:vertAlign w:val="superscript"/>
        </w:rPr>
        <w:t xml:space="preserve">6</w:t>
      </w:r>
      <w:r>
        <w:t xml:space="preserve"> </w:t>
      </w:r>
      <w:r>
        <w:t xml:space="preserve">( Orcid ID : 0000-0002-8777-5989)</w:t>
      </w:r>
    </w:p>
    <w:p>
      <w:pPr>
        <w:pStyle w:val="BodyText"/>
      </w:pPr>
      <w:r>
        <w:t xml:space="preserve">Raquel Alfaro-Sánchez</w:t>
      </w:r>
      <w:r>
        <w:rPr>
          <w:vertAlign w:val="superscript"/>
        </w:rPr>
        <w:t xml:space="preserve">7</w:t>
      </w:r>
      <w:r>
        <w:t xml:space="preserve"> </w:t>
      </w:r>
      <w:r>
        <w:t xml:space="preserve">( Orcid ID : 0000-0001-7357-3027)</w:t>
      </w:r>
    </w:p>
    <w:p>
      <w:pPr>
        <w:pStyle w:val="BodyText"/>
      </w:pPr>
      <w:r>
        <w:t xml:space="preserve">Tala Awada</w:t>
      </w:r>
      <w:r>
        <w:rPr>
          <w:vertAlign w:val="superscript"/>
        </w:rPr>
        <w:t xml:space="preserve">8</w:t>
      </w:r>
      <w:r>
        <w:t xml:space="preserve"> </w:t>
      </w:r>
      <w:r>
        <w:t xml:space="preserve">( Orcid ID : 0000-0002-0462-2339)</w:t>
      </w:r>
    </w:p>
    <w:p>
      <w:pPr>
        <w:pStyle w:val="BodyText"/>
      </w:pPr>
      <w:r>
        <w:t xml:space="preserve">Jennifer L. Baltzer</w:t>
      </w:r>
      <w:r>
        <w:rPr>
          <w:vertAlign w:val="superscript"/>
        </w:rPr>
        <w:t xml:space="preserve">7</w:t>
      </w:r>
      <w:r>
        <w:t xml:space="preserve"> </w:t>
      </w:r>
      <w:r>
        <w:t xml:space="preserve">( Orcid ID : 0000-0001-7476-5928)</w:t>
      </w:r>
    </w:p>
    <w:p>
      <w:pPr>
        <w:pStyle w:val="BodyText"/>
      </w:pPr>
      <w:r>
        <w:t xml:space="preserve">Patrick J. Baker</w:t>
      </w:r>
      <w:r>
        <w:rPr>
          <w:vertAlign w:val="superscript"/>
        </w:rPr>
        <w:t xml:space="preserve">9</w:t>
      </w:r>
      <w:r>
        <w:t xml:space="preserve"> </w:t>
      </w:r>
      <w:r>
        <w:t xml:space="preserve">( Orcid ID : 0000-0002-6560-7124)</w:t>
      </w:r>
    </w:p>
    <w:p>
      <w:pPr>
        <w:pStyle w:val="BodyText"/>
      </w:pPr>
      <w:r>
        <w:t xml:space="preserve">Joseph D. Birch ( Orcid ID : 0000-0001-8644-7345)</w:t>
      </w:r>
      <w:r>
        <w:rPr>
          <w:vertAlign w:val="superscript"/>
        </w:rPr>
        <w:t xml:space="preserve">10</w:t>
      </w:r>
    </w:p>
    <w:p>
      <w:pPr>
        <w:pStyle w:val="BodyText"/>
      </w:pPr>
      <w:r>
        <w:t xml:space="preserve">Sarayudh Bunyavejchewin</w:t>
      </w:r>
      <w:r>
        <w:rPr>
          <w:vertAlign w:val="superscript"/>
        </w:rPr>
        <w:t xml:space="preserve">11</w:t>
      </w:r>
      <w:r>
        <w:t xml:space="preserve"> </w:t>
      </w:r>
      <w:r>
        <w:t xml:space="preserve">( Orcid ID : 0000-0002-1976-5041)</w:t>
      </w:r>
    </w:p>
    <w:p>
      <w:pPr>
        <w:pStyle w:val="BodyText"/>
      </w:pPr>
      <w:r>
        <w:t xml:space="preserve">Paolo Cherubini</w:t>
      </w:r>
      <w:r>
        <w:rPr>
          <w:vertAlign w:val="superscript"/>
        </w:rPr>
        <w:t xml:space="preserve">12,13</w:t>
      </w:r>
      <w:r>
        <w:t xml:space="preserve"> </w:t>
      </w:r>
      <w:r>
        <w:t xml:space="preserve">( Orcid ID : 0000-0002-9809-250X)</w:t>
      </w:r>
    </w:p>
    <w:p>
      <w:pPr>
        <w:pStyle w:val="BodyText"/>
      </w:pPr>
      <w:r>
        <w:t xml:space="preserve">Stuart J. Davies</w:t>
      </w:r>
      <w:r>
        <w:rPr>
          <w:vertAlign w:val="superscript"/>
        </w:rPr>
        <w:t xml:space="preserve">2</w:t>
      </w:r>
      <w:r>
        <w:t xml:space="preserve"> </w:t>
      </w:r>
      <w:r>
        <w:t xml:space="preserve">( Orcid ID : 0000-0002-8596-7522)</w:t>
      </w:r>
    </w:p>
    <w:p>
      <w:pPr>
        <w:pStyle w:val="BodyText"/>
      </w:pPr>
      <w:r>
        <w:t xml:space="preserve">Cameron Dow</w:t>
      </w:r>
      <w:r>
        <w:rPr>
          <w:vertAlign w:val="superscript"/>
        </w:rPr>
        <w:t xml:space="preserve">1,14</w:t>
      </w:r>
      <w:r>
        <w:t xml:space="preserve"> </w:t>
      </w:r>
      <w:r>
        <w:t xml:space="preserve">( Orcid ID : 0000-0002-8365-598X)</w:t>
      </w:r>
    </w:p>
    <w:p>
      <w:pPr>
        <w:pStyle w:val="BodyText"/>
      </w:pPr>
      <w:r>
        <w:t xml:space="preserve">Ryan Helcoski</w:t>
      </w:r>
      <w:r>
        <w:rPr>
          <w:vertAlign w:val="superscript"/>
        </w:rPr>
        <w:t xml:space="preserve">1</w:t>
      </w:r>
    </w:p>
    <w:p>
      <w:pPr>
        <w:pStyle w:val="BodyText"/>
      </w:pPr>
      <w:r>
        <w:t xml:space="preserve">Jakub Kašpar</w:t>
      </w:r>
      <w:r>
        <w:rPr>
          <w:vertAlign w:val="superscript"/>
        </w:rPr>
        <w:t xml:space="preserve">15</w:t>
      </w:r>
      <w:r>
        <w:t xml:space="preserve"> </w:t>
      </w:r>
      <w:r>
        <w:t xml:space="preserve">( Orcid ID : 0000-0003-1780-6310)</w:t>
      </w:r>
    </w:p>
    <w:p>
      <w:pPr>
        <w:pStyle w:val="BodyText"/>
      </w:pPr>
      <w:r>
        <w:t xml:space="preserve">James A. Lutz</w:t>
      </w:r>
      <w:r>
        <w:rPr>
          <w:vertAlign w:val="superscript"/>
        </w:rPr>
        <w:t xml:space="preserve">16</w:t>
      </w:r>
      <w:r>
        <w:t xml:space="preserve"> </w:t>
      </w:r>
      <w:r>
        <w:t xml:space="preserve">( Orcid ID : 0000-0002-2560-0710)</w:t>
      </w:r>
    </w:p>
    <w:p>
      <w:pPr>
        <w:pStyle w:val="BodyText"/>
      </w:pPr>
      <w:r>
        <w:t xml:space="preserve">Ellis Q. Margolis</w:t>
      </w:r>
      <w:r>
        <w:rPr>
          <w:vertAlign w:val="superscript"/>
        </w:rPr>
        <w:t xml:space="preserve">17</w:t>
      </w:r>
      <w:r>
        <w:t xml:space="preserve"> </w:t>
      </w:r>
      <w:r>
        <w:t xml:space="preserve">( Orcid ID : 0000-0002-0595-9005)</w:t>
      </w:r>
    </w:p>
    <w:p>
      <w:pPr>
        <w:pStyle w:val="BodyText"/>
      </w:pPr>
      <w:r>
        <w:t xml:space="preserve">Justin T. Maxwell</w:t>
      </w:r>
      <w:r>
        <w:rPr>
          <w:vertAlign w:val="superscript"/>
        </w:rPr>
        <w:t xml:space="preserve">18</w:t>
      </w:r>
      <w:r>
        <w:t xml:space="preserve"> </w:t>
      </w:r>
      <w:r>
        <w:t xml:space="preserve">( Orcid ID : 0000-0001-9195-3146)</w:t>
      </w:r>
    </w:p>
    <w:p>
      <w:pPr>
        <w:pStyle w:val="BodyText"/>
      </w:pPr>
      <w:r>
        <w:t xml:space="preserve">Sean McMahon</w:t>
      </w:r>
      <w:r>
        <w:rPr>
          <w:vertAlign w:val="superscript"/>
        </w:rPr>
        <w:t xml:space="preserve">2,19</w:t>
      </w:r>
      <w:r>
        <w:t xml:space="preserve"> </w:t>
      </w:r>
      <w:r>
        <w:t xml:space="preserve">(Orcid ID : 0000-0001-8302-6908)</w:t>
      </w:r>
    </w:p>
    <w:p>
      <w:pPr>
        <w:pStyle w:val="BodyText"/>
      </w:pPr>
      <w:r>
        <w:t xml:space="preserve">Camille Piponiot</w:t>
      </w:r>
      <w:r>
        <w:rPr>
          <w:vertAlign w:val="superscript"/>
        </w:rPr>
        <w:t xml:space="preserve">1,2,20</w:t>
      </w:r>
      <w:r>
        <w:t xml:space="preserve"> </w:t>
      </w:r>
      <w:r>
        <w:t xml:space="preserve">(Orcid ID : 0000-0002-3473-1982)</w:t>
      </w:r>
    </w:p>
    <w:p>
      <w:pPr>
        <w:pStyle w:val="BodyText"/>
      </w:pPr>
      <w:r>
        <w:t xml:space="preserve">Sabrina E. Russo</w:t>
      </w:r>
      <w:r>
        <w:rPr>
          <w:vertAlign w:val="superscript"/>
        </w:rPr>
        <w:t xml:space="preserve">21,22</w:t>
      </w:r>
      <w:r>
        <w:t xml:space="preserve"> </w:t>
      </w:r>
      <w:r>
        <w:t xml:space="preserve">(Orcid ID : 0000-0002-6788-2410)</w:t>
      </w:r>
    </w:p>
    <w:p>
      <w:pPr>
        <w:pStyle w:val="BodyText"/>
      </w:pPr>
      <w:r>
        <w:t xml:space="preserve">Pavel Šamonil</w:t>
      </w:r>
      <w:r>
        <w:rPr>
          <w:vertAlign w:val="superscript"/>
        </w:rPr>
        <w:t xml:space="preserve">15</w:t>
      </w:r>
      <w:r>
        <w:t xml:space="preserve"> </w:t>
      </w:r>
      <w:r>
        <w:t xml:space="preserve">( Orcid ID : 0000-0002-7722-8797)</w:t>
      </w:r>
    </w:p>
    <w:p>
      <w:pPr>
        <w:pStyle w:val="BodyText"/>
      </w:pPr>
      <w:r>
        <w:t xml:space="preserve">Anastasia E. Sniderhan</w:t>
      </w:r>
      <w:r>
        <w:rPr>
          <w:vertAlign w:val="superscript"/>
        </w:rPr>
        <w:t xml:space="preserve">7</w:t>
      </w:r>
      <w:r>
        <w:t xml:space="preserve"> </w:t>
      </w:r>
      <w:r>
        <w:t xml:space="preserve">( Orcid ID : 0000-0003-4823-3180)</w:t>
      </w:r>
    </w:p>
    <w:p>
      <w:pPr>
        <w:pStyle w:val="BodyText"/>
      </w:pPr>
      <w:r>
        <w:t xml:space="preserve">Alan J. Tepley</w:t>
      </w:r>
      <w:r>
        <w:rPr>
          <w:vertAlign w:val="superscript"/>
        </w:rPr>
        <w:t xml:space="preserve">1,23</w:t>
      </w:r>
      <w:r>
        <w:t xml:space="preserve"> </w:t>
      </w:r>
      <w:r>
        <w:t xml:space="preserve">( Orcid ID : 0000-0002-5701-9613)</w:t>
      </w:r>
    </w:p>
    <w:p>
      <w:pPr>
        <w:pStyle w:val="BodyText"/>
      </w:pPr>
      <w:r>
        <w:t xml:space="preserve">Ivana Vašíčková</w:t>
      </w:r>
      <w:r>
        <w:rPr>
          <w:vertAlign w:val="superscript"/>
        </w:rPr>
        <w:t xml:space="preserve">15</w:t>
      </w:r>
      <w:r>
        <w:t xml:space="preserve"> </w:t>
      </w:r>
      <w:r>
        <w:t xml:space="preserve">( Orcid ID : 0000-0002-6070-5956)</w:t>
      </w:r>
    </w:p>
    <w:p>
      <w:pPr>
        <w:pStyle w:val="BodyText"/>
      </w:pPr>
      <w:r>
        <w:t xml:space="preserve">Mart Vlam</w:t>
      </w:r>
      <w:r>
        <w:rPr>
          <w:vertAlign w:val="superscript"/>
        </w:rPr>
        <w:t xml:space="preserve">24</w:t>
      </w:r>
    </w:p>
    <w:p>
      <w:pPr>
        <w:pStyle w:val="BodyText"/>
      </w:pPr>
      <w:r>
        <w:t xml:space="preserve">Pieter A. Zuidema</w:t>
      </w:r>
      <w:r>
        <w:rPr>
          <w:vertAlign w:val="superscript"/>
        </w:rPr>
        <w:t xml:space="preserve">24</w:t>
      </w:r>
      <w:r>
        <w:t xml:space="preserve"> </w:t>
      </w:r>
      <w:r>
        <w:t xml:space="preserve">( Orcid ID : 0000-0001-8100-1168)</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Center for Tree Science, The Morton Arboretum,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r>
        <w:t xml:space="preserve"> </w:t>
      </w:r>
      <w:r>
        <w:t xml:space="preserve">** Current address: Decision and Infrastructure Sciences, Argonne National Laboratory; Lamont, IL.</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and Natural Resources,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Running head:</w:t>
      </w:r>
      <w:r>
        <w:t xml:space="preserve"> </w:t>
      </w:r>
      <w:r>
        <w:t xml:space="preserve">ecological analysis of global tree-ring data</w:t>
      </w:r>
    </w:p>
    <w:p>
      <w:r>
        <w:br w:type="page"/>
      </w:r>
    </w:p>
    <w:bookmarkStart w:id="21" w:name="Abstract"/>
    <w:p>
      <w:pPr>
        <w:pStyle w:val="Heading1"/>
      </w:pPr>
      <w:r>
        <w:t xml:space="preserve">Abstract</w:t>
      </w:r>
    </w:p>
    <w:p>
      <w:pPr>
        <w:pStyle w:val="FirstParagraph"/>
      </w:pPr>
      <w:r>
        <w:t xml:space="preserve">Tree rings provide an invaluable long-term record for understanding how climate and other drivers shape tree growth and forest productivity.</w:t>
      </w:r>
      <w:r>
        <w:t xml:space="preserve"> </w:t>
      </w:r>
      <w:r>
        <w:t xml:space="preserve">However, conventional tree-ring analysis methods were not designed to simultaneously test effects of climate, tree size, and other drivers on individual growth.</w:t>
      </w:r>
      <w:r>
        <w:t xml:space="preserve"> </w:t>
      </w:r>
      <w:r>
        <w:t xml:space="preserve">This has limited the potential to test ecologically relevant hypotheses on tree growth sensitivity to environmental drivers and their interactions with tree size.</w:t>
      </w:r>
      <w:r>
        <w:t xml:space="preserve"> </w:t>
      </w:r>
      <w:r>
        <w:t xml:space="preserve">Here, we develop and apply a new method to simultaneously model nonlinear effects of primary climate drivers, reconstructed tree diameter at breast height (DBH), and calendar year in generalized least squares models that account for the temporal autocorrelation inherent to each individual tree’s growth.</w:t>
      </w:r>
      <w:r>
        <w:t xml:space="preserve"> </w:t>
      </w:r>
      <w:r>
        <w:t xml:space="preserve">We analyze data from 3811 trees representing 40 species at 10 globally distributed sites, showing that precipitation, temperature, DBH, and calendar year have additively, and often interactively, influenced annual growth over the past 120 years.</w:t>
      </w:r>
      <w:r>
        <w:t xml:space="preserve"> </w:t>
      </w:r>
      <w:r>
        <w:t xml:space="preserve">Growth responses were predominantly positive to precipitation (usually over</w:t>
      </w:r>
      <w:r>
        <w:t xml:space="preserve"> </w:t>
      </w:r>
      <m:oMath>
        <m:r>
          <m:rPr>
            <m:sty m:val="p"/>
          </m:rPr>
          <m:t>≥</m:t>
        </m:r>
      </m:oMath>
      <w:r>
        <w:t xml:space="preserve"> </w:t>
      </w:r>
      <w:r>
        <w:t xml:space="preserve">3-month seasonal windows) and negative to temperature (usually maximum temperature, over</w:t>
      </w:r>
      <w:r>
        <w:t xml:space="preserve"> </w:t>
      </w:r>
      <m:oMath>
        <m:r>
          <m:rPr>
            <m:sty m:val="p"/>
          </m:rPr>
          <m:t>≤</m:t>
        </m:r>
      </m:oMath>
      <w:r>
        <w:t xml:space="preserve"> </w:t>
      </w:r>
      <w:r>
        <w:t xml:space="preserve">3-month seasonal windows), with concave-down responses in 63% of relationships.</w:t>
      </w:r>
      <w:r>
        <w:t xml:space="preserve"> </w:t>
      </w:r>
      <w:r>
        <w:t xml:space="preserve">Climate sensitivity commonly varied with DBH (44% of cases tested), with larger trees usually more sensitive.</w:t>
      </w:r>
      <w:r>
        <w:t xml:space="preserve"> </w:t>
      </w:r>
      <w:r>
        <w:t xml:space="preserve">Trends in ring width at small DBH were linked to the light environment under which trees established, but basal area or biomass increments consistently reached maxima at intermediate DBH.</w:t>
      </w:r>
      <w:r>
        <w:t xml:space="preserve"> </w:t>
      </w:r>
      <w:r>
        <w:t xml:space="preserve">Accounting for climate and DBH, growth rate declined over time for 92% of species in secondary or disturbed stands, whereas growth trends were mixed in older forests.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growth than has previously been possible.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1"/>
    <w:bookmarkStart w:id="23"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 Zuidema et al., 2013)</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w:t>
      </w:r>
      <w:r>
        <w:t xml:space="preserve"> </w:t>
      </w:r>
      <w:r>
        <w:t xml:space="preserve">Combined with forest censuses, they can be used to estimate forest woody productivity</w:t>
      </w:r>
      <w:r>
        <w:t xml:space="preserve"> </w:t>
      </w:r>
      <w:r>
        <w:t xml:space="preserve">(Davis et al., 2009; Dye et al., 2016; Graumlich et al., 1989)</w:t>
      </w:r>
      <w:r>
        <w:t xml:space="preserve"> </w:t>
      </w:r>
      <w:r>
        <w:t xml:space="preserve">and its climate sensitivity</w:t>
      </w:r>
      <w:r>
        <w:t xml:space="preserve"> </w:t>
      </w:r>
      <w:r>
        <w:t xml:space="preserve">(Helcoski et al., 2019; Klesse et al., 2018; Teets et al., 2018)</w:t>
      </w:r>
      <w:r>
        <w:t xml:space="preserve">.</w:t>
      </w:r>
      <w:r>
        <w:t xml:space="preserve"> </w:t>
      </w:r>
      <w:r>
        <w:t xml:space="preserve">Tree rings also provide the long-term perspective necessary for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2021)</w:t>
      </w:r>
      <w:r>
        <w:t xml:space="preserve">.</w:t>
      </w:r>
      <w:r>
        <w:t xml:space="preserve"> </w:t>
      </w:r>
      <w:r>
        <w:t xml:space="preserve">This information is critical to predicting forest responses to anthropogenic changes – particularly climate change – and thereby reducing the large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understand variation among trees – including size-related variation in climate sensitivity</w:t>
      </w:r>
      <w:r>
        <w:t xml:space="preserve"> </w:t>
      </w:r>
      <w:r>
        <w:t xml:space="preserve">(e.g., Bennett et al., 2015; McGregor et al., 2021; Rollinson et al., 2021)</w:t>
      </w:r>
      <w:r>
        <w:t xml:space="preserve"> </w:t>
      </w:r>
      <w:r>
        <w:t xml:space="preserve">– or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carbon sequestration in the current era of rapid environmental change.</w:t>
      </w:r>
    </w:p>
    <w:p>
      <w:pPr>
        <w:pStyle w:val="BodyText"/>
      </w:pPr>
      <w:r>
        <w:t xml:space="preserve">To realistically estimate forest woody productivity, it is necessary to measure or model the growth rate of individual trees within a stand based on the primary biotic and abiotic drivers.</w:t>
      </w:r>
      <w:r>
        <w:t xml:space="preserve"> </w:t>
      </w:r>
      <w:r>
        <w:t xml:space="preserve">Specifically, what is needed is an analysis framework that can capture the additive and interactive effects of climate, tree size (most commonly diameter at breast height, DBH), and other environmental drivers, all of which may be best described by nonlinear functions</w:t>
      </w:r>
      <w:r>
        <w:t xml:space="preserve"> </w:t>
      </w:r>
      <w:r>
        <w:t xml:space="preserve">(Muller-Landau et al., 2006; Rollinson et al., 2021)</w:t>
      </w:r>
      <w:r>
        <w:t xml:space="preserve">.</w:t>
      </w:r>
      <w:r>
        <w:t xml:space="preserve"> </w:t>
      </w:r>
      <w:r>
        <w:t xml:space="preserve">While multifactorial and sometimes nonlinear individual-based analysis frameworks have been applied in tree-ring analysis</w:t>
      </w:r>
      <w:r>
        <w:t xml:space="preserve"> </w:t>
      </w:r>
      <w:r>
        <w:t xml:space="preserve">(e.g., Evans et al., 2017; Klesse et al., 2020; Rollinson et al., 2021; Zuidema et al., 2020)</w:t>
      </w:r>
      <w:r>
        <w:t xml:space="preserve">, their use has been relatively limited, and none simultaneously account for climate, DBH, and calendar year (a proxy for slowly changing environmental drivers).</w:t>
      </w:r>
      <w:r>
        <w:t xml:space="preserve"> </w:t>
      </w:r>
      <w:r>
        <w:t xml:space="preserve">Below, we outline major hypotheses regarding the influence of these factors on tree growth that can best be addressed using a multifactorial, nonlinear approach to tree-ring analysis (Table 1).</w:t>
      </w:r>
      <w:r>
        <w:t xml:space="preserve"> </w:t>
      </w:r>
      <w:r>
        <w:t xml:space="preserve">We then develop such a framework and apply it to test these hypotheses.</w:t>
      </w:r>
    </w:p>
    <w:bookmarkStart w:id="22" w:name="Key"/>
    <w:p>
      <w:pPr>
        <w:pStyle w:val="Heading2"/>
      </w:pPr>
      <w:r>
        <w:t xml:space="preserve">Key hypotheses on tree growth</w:t>
      </w:r>
    </w:p>
    <w:p>
      <w:pPr>
        <w:pStyle w:val="FirstParagraph"/>
      </w:pPr>
      <w:r>
        <w:t xml:space="preserve">Understanding the climate sensitivity of tree growth is critical to predicting forest dynamics and productivity as the climate changes.</w:t>
      </w:r>
      <w:r>
        <w:t xml:space="preserve"> </w:t>
      </w:r>
      <w:r>
        <w:t xml:space="preserve">The classic dendrochronological approach to characterizing the climate sensitivity of tree growth describes linear relationships between the primary growth-limiting climate factor (moisture or temperature) and population-level growth responses captured in ring-width index chronologies</w:t>
      </w:r>
      <w:r>
        <w:t xml:space="preserve"> </w:t>
      </w:r>
      <w:r>
        <w:t xml:space="preserve">(Cook, 1985; Fritts, 1976; Speer, 2010)</w:t>
      </w:r>
      <w:r>
        <w:t xml:space="preserve">.</w:t>
      </w:r>
      <w:r>
        <w:t xml:space="preserve"> </w:t>
      </w:r>
      <w:r>
        <w:t xml:space="preserve">While invaluable for applications such as reconstructing past climates</w:t>
      </w:r>
      <w:r>
        <w:t xml:space="preserve"> </w:t>
      </w:r>
      <w:r>
        <w:t xml:space="preserve">(e.g., Buntgen et al., 2011)</w:t>
      </w:r>
      <w:r>
        <w:t xml:space="preserve">, accurately representing the climate sensitivity of forest productivity requires an analysis of sensitivity to multiple climatic variables and how this varies across trees in a forest stand</w:t>
      </w:r>
      <w:r>
        <w:t xml:space="preserve"> </w:t>
      </w:r>
      <w:r>
        <w:t xml:space="preserve">(Babst et al., 2018)</w:t>
      </w:r>
      <w:r>
        <w:t xml:space="preserve">.</w:t>
      </w:r>
      <w:r>
        <w:t xml:space="preserve"> </w:t>
      </w:r>
      <w:r>
        <w:t xml:space="preserve">Precipitation and temperature can have additive or interactive effects on growth</w:t>
      </w:r>
      <w:r>
        <w:t xml:space="preserve"> </w:t>
      </w:r>
      <w:r>
        <w:t xml:space="preserve">(Foster et al., 2016; Meko et al., 2011; Sánchez-Salguero et al., 2015; Vlam et al., 2014; Zuidema et al., 2020)</w:t>
      </w:r>
      <w:r>
        <w:t xml:space="preserve">, and we hypothesize that both influence the growth of most species, often over different seasonal windows (Table 1).</w:t>
      </w:r>
      <w:r>
        <w:t xml:space="preserve"> </w:t>
      </w:r>
      <w:r>
        <w:t xml:space="preserve">In addition, we hypothesize that nonlinear climate responses, already known to be widespread within forest settings</w:t>
      </w:r>
      <w:r>
        <w:t xml:space="preserve"> </w:t>
      </w:r>
      <w:r>
        <w:t xml:space="preserve">(Rollinson et al., 2021; Wilmking et al., 2020; Woodhouse, 1999)</w:t>
      </w:r>
      <w:r>
        <w:t xml:space="preserve">, are in fact the predominant form of response in forests around the world (Table 1).</w:t>
      </w:r>
      <w:r>
        <w:t xml:space="preserve"> </w:t>
      </w:r>
      <w:r>
        <w:t xml:space="preserve">Finally, the influence of DBH is typically removed through detrending</w:t>
      </w:r>
      <w:r>
        <w:t xml:space="preserve"> </w:t>
      </w:r>
      <w:r>
        <w:t xml:space="preserve">(Cook &amp; Peters, 1997)</w:t>
      </w:r>
      <w:r>
        <w:t xml:space="preserve">, which eliminates the potential to directly model its influence on climate sensitivity, but we hypothesize that interactive effects of DBH and climate are, in fact, quite common in forest settings and fundamental to understanding climate change responses of forests</w:t>
      </w:r>
      <w:r>
        <w:t xml:space="preserve"> </w:t>
      </w:r>
      <w:r>
        <w:t xml:space="preserve">(Table 1, Bennett et al., 2015; McGregor et al., 2021; Rollinson et al., 2021; Trouillier et al., 2019)</w:t>
      </w:r>
      <w:r>
        <w:t xml:space="preserve">.</w:t>
      </w:r>
    </w:p>
    <w:p>
      <w:pPr>
        <w:pStyle w:val="BodyText"/>
      </w:pPr>
      <w:r>
        <w:t xml:space="preserve">Tree DBH scales with numerous traits affecting tree growth (e.g., height, crown size and position, root mass, hydraulic architecture) and therefore is itself linked to growth</w:t>
      </w:r>
      <w:r>
        <w:t xml:space="preserve"> </w:t>
      </w:r>
      <w:r>
        <w:t xml:space="preserve">(e.g., Anderson-Teixeira, McGarvey, et al., 2015)</w:t>
      </w:r>
      <w:r>
        <w:t xml:space="preserve">.</w:t>
      </w:r>
      <w:r>
        <w:t xml:space="preserve"> </w:t>
      </w:r>
      <w:r>
        <w:t xml:space="preserve">Yet, there remain inconsistencies across disciplines (dendrochronology, forest ecology) as to what is considered a typical growth pattern.</w:t>
      </w:r>
      <w:r>
        <w:t xml:space="preserve"> </w:t>
      </w:r>
      <w:r>
        <w:t xml:space="preserve">Dendrochronological records from trees that established in high-light environments commonly show a pattern in which radial stem growth increments (ring width, RW) are initially large and decline with DBH</w:t>
      </w:r>
      <w:r>
        <w:t xml:space="preserve"> </w:t>
      </w:r>
      <w:r>
        <w:t xml:space="preserve">(Fritts, 1976)</w:t>
      </w:r>
      <w:r>
        <w:t xml:space="preserve">, whereas censuses of globally distributed forests indicate that diameter increments most commonly increase with DBH</w:t>
      </w:r>
      <w:r>
        <w:t xml:space="preserve"> </w:t>
      </w:r>
      <w:r>
        <w:t xml:space="preserve">(Anderson-Teixeira, McGarvey, et al., 2015; Muller-Landau et al., 2006)</w:t>
      </w:r>
      <w:r>
        <w:t xml:space="preserve">.</w:t>
      </w:r>
      <w:r>
        <w:t xml:space="preserve"> </w:t>
      </w:r>
      <w:r>
        <w:t xml:space="preserve">We hypothesize that this discrepancy is primarily a distinction between trees that establish in the open versus in the understory</w:t>
      </w:r>
      <w:r>
        <w:t xml:space="preserve"> </w:t>
      </w:r>
      <w:r>
        <w:t xml:space="preserve">(Table 1, Lorimer et al., 1988)</w:t>
      </w:r>
      <w:r>
        <w:t xml:space="preserve">.</w:t>
      </w:r>
      <w:r>
        <w:t xml:space="preserve"> </w:t>
      </w:r>
      <w:r>
        <w:t xml:space="preserve">Building upon observed ontogenetic patterns in RW, dendrochronology studies often adopt a null hypothesis that the annual basal area increment (BAI) fluctuates around a constant mean after a juvenile growth phase</w:t>
      </w:r>
      <w:r>
        <w:t xml:space="preserve"> </w:t>
      </w:r>
      <w:r>
        <w:t xml:space="preserve">(Biondi &amp; Qeadan, 2008; Fritts, 1976)</w:t>
      </w:r>
      <w:r>
        <w:t xml:space="preserve"> </w:t>
      </w:r>
      <w:r>
        <w:t xml:space="preserve">– a pattern that we would not expect to hold in understory-established trees (Table 1).</w:t>
      </w:r>
      <w:r>
        <w:t xml:space="preserve"> </w:t>
      </w:r>
      <w:r>
        <w:t xml:space="preserve">Finally, there is debate as to whether the aboveground biomass increment (</w:t>
      </w:r>
      <m:oMath>
        <m:r>
          <m:t>Δ</m:t>
        </m:r>
      </m:oMath>
      <w:r>
        <w:t xml:space="preserve">AGB) increases continuously with DBH</w:t>
      </w:r>
      <w:r>
        <w:t xml:space="preserve"> </w:t>
      </w:r>
      <w:r>
        <w:t xml:space="preserve">(Foster et al., 2016; Meakem et al., 2018; Sillett et al., 2010; Stephenson et al., 2014)</w:t>
      </w:r>
      <w:r>
        <w:t xml:space="preserve"> </w:t>
      </w:r>
      <w:r>
        <w:t xml:space="preserve">or peaks at intermediate DBH and then plateaus or declines as trees divert carbon to other functions such as reproduction and respiration</w:t>
      </w:r>
      <w:r>
        <w:t xml:space="preserve"> </w:t>
      </w:r>
      <w:r>
        <w:t xml:space="preserve">(Sheil et al., 2017; Thomas, 2011; West, 2020)</w:t>
      </w:r>
      <w:r>
        <w:t xml:space="preserve">.</w:t>
      </w:r>
      <w:r>
        <w:t xml:space="preserve"> </w:t>
      </w:r>
      <w:r>
        <w:t xml:space="preserve">Following the finding that the latter pattern is common for individual trees whereas the former emerges in</w:t>
      </w:r>
      <w:r>
        <w:t xml:space="preserve"> </w:t>
      </w:r>
      <w:r>
        <w:t xml:space="preserve">“</w:t>
      </w:r>
      <w:r>
        <w:t xml:space="preserve">cross-sectional</w:t>
      </w:r>
      <w:r>
        <w:t xml:space="preserve">”</w:t>
      </w:r>
      <w:r>
        <w:t xml:space="preserve"> </w:t>
      </w:r>
      <w:r>
        <w:t xml:space="preserve">analyses of forest stands</w:t>
      </w:r>
      <w:r>
        <w:t xml:space="preserve"> </w:t>
      </w:r>
      <w:r>
        <w:t xml:space="preserve">(Forrester, 2021)</w:t>
      </w:r>
      <w:r>
        <w:t xml:space="preserve">, we hypothesize that</w:t>
      </w:r>
      <w:r>
        <w:t xml:space="preserve"> </w:t>
      </w:r>
      <m:oMath>
        <m:r>
          <m:t>Δ</m:t>
        </m:r>
      </m:oMath>
      <w:r>
        <w:t xml:space="preserve">AGB – and also BAI – peaks and declines as DBH increases (Table 1).</w:t>
      </w:r>
      <w:r>
        <w:t xml:space="preserve"> </w:t>
      </w:r>
      <w:r>
        <w:t xml:space="preserve">Discerning these ontogenetic growth trends is essential not only for predicting the growth rate of any given tree, but also for standardizing for DBH to deduce the influence of slowly changing environmental drivers</w:t>
      </w:r>
      <w:r>
        <w:t xml:space="preserve"> </w:t>
      </w:r>
      <w:r>
        <w:t xml:space="preserve">(see next paragraph, Peters et al., 2015)</w:t>
      </w:r>
      <w:r>
        <w:t xml:space="preserve">, with the reliability of such analyses contingent upon accurate assumptions of ontogenetic growth patterns.</w:t>
      </w:r>
    </w:p>
    <w:p>
      <w:pPr>
        <w:pStyle w:val="BodyText"/>
      </w:pPr>
      <w:r>
        <w:t xml:space="preserve">Beyond the direct effects of climate, other factors, such as rising atmospheric CO</w:t>
      </w:r>
      <w:r>
        <w:rPr>
          <w:vertAlign w:val="subscript"/>
        </w:rPr>
        <w:t xml:space="preserve">2</w:t>
      </w:r>
      <w:r>
        <w:t xml:space="preserve"> </w:t>
      </w:r>
      <w:r>
        <w:t xml:space="preserve">concentrations, changes in atmospheric deposition of sulfur dioxide (SO</w:t>
      </w:r>
      <w:r>
        <w:rPr>
          <w:vertAlign w:val="subscript"/>
        </w:rPr>
        <w:t xml:space="preserve">2</w:t>
      </w:r>
      <w:r>
        <w:t xml:space="preserve">) and nitrogen oxides (NO</w:t>
      </w:r>
      <w:r>
        <w:rPr>
          <w:vertAlign w:val="subscript"/>
        </w:rPr>
        <w:t xml:space="preserve">x</w:t>
      </w:r>
      <w:r>
        <w:t xml:space="preserve">), and the indirect effects of climate change all potentially influence tree growth</w:t>
      </w:r>
      <w:r>
        <w:t xml:space="preserve"> </w:t>
      </w:r>
      <w:r>
        <w:t xml:space="preserve">(Belmecheri et al., 2021; Levesque et al., 2017; Mathias &amp; Thomas, 2018; Maxwell et al., 2019; Takahashi et al., 2020; Walker et al., 2021)</w:t>
      </w:r>
      <w:r>
        <w:t xml:space="preserve">.</w:t>
      </w:r>
      <w:r>
        <w:t xml:space="preserve"> </w:t>
      </w:r>
      <w:r>
        <w:t xml:space="preserve">Understanding these effects is central to predicting the future of the terrestrial carbon sink</w:t>
      </w:r>
      <w:r>
        <w:t xml:space="preserve"> </w:t>
      </w:r>
      <w:r>
        <w:t xml:space="preserve">(Walker et al., 2021)</w:t>
      </w:r>
      <w:r>
        <w:t xml:space="preserve">.</w:t>
      </w:r>
      <w:r>
        <w:t xml:space="preserve"> </w:t>
      </w:r>
      <w:r>
        <w:t xml:space="preserve">Yet, characterizing how tree growth and forest productivity are responding to slowly changing environmental drivers is challenging and uncertain.</w:t>
      </w:r>
      <w:r>
        <w:t xml:space="preserve"> </w:t>
      </w:r>
      <w:r>
        <w:t xml:space="preserve">Ontogenetic patterns in tree growth must be accounted for, yet two of the most commonly used methods of standardizing for tree size, conservative detrending and basal area correction</w:t>
      </w:r>
      <w:r>
        <w:t xml:space="preserve"> </w:t>
      </w:r>
      <w:r>
        <w:t xml:space="preserve">(Peters et al., 2015)</w:t>
      </w:r>
      <w:r>
        <w:t xml:space="preserve">, assume certain growth patterns unlikely to be universal in forest settings, as discussed above.</w:t>
      </w:r>
      <w:r>
        <w:t xml:space="preserve"> </w:t>
      </w:r>
      <w:r>
        <w:t xml:space="preserve">Approaches that combine cross-sectional with temporal analyses to correct for growth ontogeny, such as regional curve standardization, perform better at growth trend detection</w:t>
      </w:r>
      <w:r>
        <w:t xml:space="preserve"> </w:t>
      </w:r>
      <w:r>
        <w:t xml:space="preserve">(Peters et al., 2015)</w:t>
      </w:r>
      <w:r>
        <w:t xml:space="preserve">.</w:t>
      </w:r>
      <w:r>
        <w:t xml:space="preserve"> </w:t>
      </w:r>
      <w:r>
        <w:t xml:space="preserve">Yet, even after correcting for ontogeny, growth trend detection remains subject to various potential sampling and analysis biases, which result in a limited potential of a contemporary set of tree cores to represent the growth history of a population</w:t>
      </w:r>
      <w:r>
        <w:t xml:space="preserve"> </w:t>
      </w:r>
      <w:r>
        <w:t xml:space="preserve">(Bowman et al., 2013; Brienen et al., 2017, 2012; Cherubini et al., 1998; Duchesne et al., 2019; Hember et al., 2019; Nehrbass-Ahles et al., 2014; Sullivan et al., 2016)</w:t>
      </w:r>
      <w:r>
        <w:t xml:space="preserve">.</w:t>
      </w:r>
      <w:r>
        <w:t xml:space="preserve"> </w:t>
      </w:r>
      <w:r>
        <w:t xml:space="preserve">Tree growth rates are sensitive to stand dynamics, with competition – the intensity of which tends to increase as forests mature – reducing woody growth rates</w:t>
      </w:r>
      <w:r>
        <w:t xml:space="preserve"> </w:t>
      </w:r>
      <w:r>
        <w:t xml:space="preserve">(e.g., Zhang et al., 2015)</w:t>
      </w:r>
      <w:r>
        <w:t xml:space="preserve">.</w:t>
      </w:r>
      <w:r>
        <w:t xml:space="preserve"> </w:t>
      </w:r>
      <w:r>
        <w:t xml:space="preserve">Similarly, ecosystem-level carbon allocation to woody growth – as opposed to leaf or fine root production, reproduction, defenses, etc. – has been shown to decline as forest stands age</w:t>
      </w:r>
      <w:r>
        <w:t xml:space="preserve"> </w:t>
      </w:r>
      <w:r>
        <w:t xml:space="preserve">(Collalti et al., 2020; DeLucia et al., 2007; Goulden et al., 2011; Pregitzer &amp; Euskirchen, 2004; West, 2020)</w:t>
      </w:r>
      <w:r>
        <w:t xml:space="preserve">.</w:t>
      </w:r>
      <w:r>
        <w:t xml:space="preserve"> </w:t>
      </w:r>
      <w:r>
        <w:t xml:space="preserve">Thus, we hypothesize that size-corrected growth rates of tree populations sampled from within secondary or severely disturbed stands (i.e., those with large recruitment pulses within the past century) will generally decline, whereas populations sampled from older, relatively undisturbed stands will display mixed growth trends that are more dependent on external environmental drivers (Table 1).</w:t>
      </w:r>
    </w:p>
    <w:p>
      <w:pPr>
        <w:pStyle w:val="BodyText"/>
      </w:pPr>
      <w:r>
        <w:t xml:space="preserve">We address the above hypotheses (Table 1) across ten forested sites spanning 52 degrees latitude, using a new method that allows simultaneous consideration of the effects of primary climate drivers (i.e., the most influential climate variables and the seasonal window over which they operate), DBH, and calendar year on annual tree growth.</w:t>
      </w:r>
    </w:p>
    <w:p>
      <w:r>
        <w:br w:type="page"/>
      </w:r>
    </w:p>
    <w:p>
      <w:pPr>
        <w:pStyle w:val="BodyText"/>
      </w:pPr>
      <w:r>
        <w:rPr>
          <w:bCs/>
          <w:b/>
        </w:rPr>
        <w:t xml:space="preserve">Table 1 | Summary of hypotheses and specific predictions tested using the method developed here, along with the frequency at which they were supported in our analyses of tree-ring data from ten globally distributed forests.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084"/>
        <w:gridCol w:w="2452"/>
      </w:tblGrid>
      <w:tr>
        <w:trPr>
          <w:cantSplit/>
          <w:trHeight w:val="58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Hypotheses and specific predictions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frequency observed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Interannual climate variation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7"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Drought limits growth, but water responses are nonlinear.</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responds positively to water,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93% (42/45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positive responses decelerate or decline at high precipitation.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76% (32/42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High temperatures (T) limit growth, often nonlinearly.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responses to T are predominantly either negative…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29% (13/45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…or non-linear concave down.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40% (18/45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However, there are cases where growth increases with 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15% (7/45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Climate sensitivity often varies with tree diameter at breast height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Water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44% (16/36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Temperature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38% (12/32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Diameter (DBH)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DBH - ring width (RW) relationships depend upon the light environment.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RW declines with DBH for light-demanding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46% (6/13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initially increases with DBH for shade-tolerant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73% (8/11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Basal area and biomass increments reach maxima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Basal area increment (BAI)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95% (41/43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Biomass increment (∆AGB)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98% (42/43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Calendar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9"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Size-corrected growth rates decline with time since severe disturbance.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secondary or disturbed forests, growth rates of most species have declined.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92% (23/25 sp. at 7 sites)</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In forests dominated by &gt;100 yr old trees, growth trends are mixed.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older forests, growth rates of some species have declined,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50% (6/12 sp. at 3 sites)</w:t>
            </w:r>
          </w:p>
        </w:tc>
      </w:tr>
      <w:tr>
        <w:trPr>
          <w:cantSplit/>
          <w:trHeight w:val="42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….whereas others have increased.</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25% (3/12 sp. at 3 sites)</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SSC= species-site combinations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climate-only models with RW as response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Refers to SSC with significant (p&lt;0.05) main effect of climate on RW.</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without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100% (9/9 SSC) for models including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 BAI as response variable.</w:t>
            </w:r>
          </w:p>
        </w:tc>
      </w:tr>
    </w:tbl>
    <w:bookmarkEnd w:id="22"/>
    <w:bookmarkEnd w:id="23"/>
    <w:bookmarkStart w:id="30" w:name="Materials"/>
    <w:p>
      <w:pPr>
        <w:pStyle w:val="Heading1"/>
      </w:pPr>
      <w:r>
        <w:t xml:space="preserve">Materials and Methods</w:t>
      </w:r>
    </w:p>
    <w:bookmarkStart w:id="25" w:name="Data"/>
    <w:p>
      <w:pPr>
        <w:pStyle w:val="Heading2"/>
      </w:pPr>
      <w:r>
        <w:t xml:space="preserve">Data sources and preparation</w:t>
      </w:r>
    </w:p>
    <w:p>
      <w:pPr>
        <w:pStyle w:val="FirstParagraph"/>
      </w:pPr>
      <w:r>
        <w:t xml:space="preserve">We analyzed tree-ring data,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were co-located with large forest dynamics plots of the Forest Global Earth Observatory</w:t>
      </w:r>
      <w:r>
        <w:t xml:space="preserve"> </w:t>
      </w:r>
      <w:r>
        <w:t xml:space="preserve">(ForestGEO,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objectives of the original studies (Tables S1, S3).</w:t>
      </w:r>
      <w:r>
        <w:t xml:space="preserve"> </w:t>
      </w:r>
      <w:r>
        <w:t xml:space="preserve">In using this diversity of data sources, we ensured that our approach could handle challenges presented by varying methodologies and forest types.</w:t>
      </w:r>
    </w:p>
    <w:p>
      <w:r>
        <w:br w:type="page"/>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440"/>
        <w:gridCol w:w="1440"/>
        <w:gridCol w:w="648"/>
        <w:gridCol w:w="648"/>
        <w:gridCol w:w="648"/>
        <w:gridCol w:w="950"/>
        <w:gridCol w:w="749"/>
        <w:gridCol w:w="720"/>
        <w:gridCol w:w="2160"/>
      </w:tblGrid>
      <w:tr>
        <w:trPr>
          <w:cantSplit/>
          <w:trHeight w:val="56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code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location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July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Jan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MAP (mm)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vegetation type(s)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cores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original publication(s)</w:t>
            </w:r>
          </w:p>
        </w:tc>
      </w:tr>
      <w:tr>
        <w:trPr>
          <w:cantSplit/>
          <w:trHeight w:val="54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BCNM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Barro Colorado Nature Monument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Panama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Alfaro-Sánchez et al. 2017</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HKK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Huai Kha Khaeng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Thailand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Vlam et al. 2014</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SCBI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Smithsonian Conservation Biology Institute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Virginia,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Bourg et al. 2013; Helcoski et al. 2019</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LDW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Lilly Dickey Woods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Indiana,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Maxwell et al. 2016</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Harvard Forest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Massachusetts,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1,104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Dye et al. 2016; Alexander et al. 2019; Finzi et al. 2020</w:t>
            </w:r>
          </w:p>
        </w:tc>
      </w:tr>
      <w:tr>
        <w:trPr>
          <w:cantSplit/>
          <w:trHeight w:val="58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ZOF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Žofín Forest Dynamics Plot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Czech Republic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Šamonil et al. 2013</w:t>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Niobrara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Nebraska,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Bumann et al. 2019</w:t>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Little Tesuque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 Mexico,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Cedar Breaks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Utah,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Birch et al. 2020a-d</w:t>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Scotty Creek</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Northwest Territories, Canada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373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Sniderhan and Baltzer 2016</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Refers to 1950-2019 mean climate; T= mean monthly temperature; MAP= mean annual precipitation.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Broadleaf Deciduous, BE= Broadleaf Evergreen, C=Conifer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Older forest, with majority of sampled trees established before 1900</w:t>
            </w:r>
          </w:p>
        </w:tc>
      </w:tr>
    </w:tbl>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Vlam et al. (2014)</w:t>
            </w:r>
            <w:r>
              <w:t xml:space="preserve">;</w:t>
            </w:r>
            <w:r>
              <w:t xml:space="preserve"> </w:t>
            </w:r>
            <w:r>
              <w:t xml:space="preserve">Maxwell et al. (2016)</w:t>
            </w:r>
            <w:r>
              <w:t xml:space="preserve">;</w:t>
            </w:r>
            <w:r>
              <w:t xml:space="preserve"> </w:t>
            </w:r>
            <w:r>
              <w:t xml:space="preserve">Sniderhan &amp; Baltzer (2016)</w:t>
            </w:r>
            <w:r>
              <w:t xml:space="preserve">;</w:t>
            </w:r>
            <w:r>
              <w:t xml:space="preserve"> </w:t>
            </w:r>
            <w:r>
              <w:t xml:space="preserve">Alfaro-Sánchez et al. (2017)</w:t>
            </w:r>
            <w:r>
              <w:t xml:space="preserve">;</w:t>
            </w:r>
            <w:r>
              <w:t xml:space="preserve">Bourg et al. (2013)</w:t>
            </w:r>
            <w:r>
              <w:t xml:space="preserve">;</w:t>
            </w:r>
            <w:r>
              <w:t xml:space="preserve"> </w:t>
            </w:r>
            <w:r>
              <w:t xml:space="preserve">Helcoski et al. (2019)</w:t>
            </w:r>
            <w:r>
              <w:t xml:space="preserve"> </w:t>
            </w:r>
            <w:r>
              <w:t xml:space="preserve">(</w:t>
            </w:r>
            <w:r>
              <w:rPr>
                <w:bCs/>
                <w:b/>
              </w:rPr>
              <w:t xml:space="preserve">gonzalez-akre_scbi-forestgeoscbi-forestgeo-data_2020-1?</w:t>
            </w:r>
            <w:r>
              <w:t xml:space="preserve">)</w:t>
            </w:r>
            <w:r>
              <w:t xml:space="preserve">;</w:t>
            </w:r>
            <w:r>
              <w:t xml:space="preserve"> </w:t>
            </w:r>
            <w:r>
              <w:t xml:space="preserve">Bumann et al. (2019)</w:t>
            </w:r>
            <w:r>
              <w:t xml:space="preserve">;</w:t>
            </w:r>
            <w:r>
              <w:t xml:space="preserve"> </w:t>
            </w:r>
            <w:r>
              <w:t xml:space="preserve">Šamonil et al. (2013)</w:t>
            </w:r>
            <w:r>
              <w:t xml:space="preserve">;</w:t>
            </w:r>
            <w:r>
              <w:t xml:space="preserve"> </w:t>
            </w:r>
            <w:r>
              <w:t xml:space="preserve">Alexander et al. (2019)</w:t>
            </w:r>
            <w:r>
              <w:t xml:space="preserve">;</w:t>
            </w:r>
            <w:r>
              <w:t xml:space="preserve"> </w:t>
            </w:r>
            <w:r>
              <w:t xml:space="preserve">Finzi et al. (2020)</w:t>
            </w:r>
            <w:r>
              <w:t xml:space="preserve">;</w:t>
            </w:r>
            <w:r>
              <w:t xml:space="preserve"> </w:t>
            </w:r>
            <w:r>
              <w:t xml:space="preserve">Birch et al. (2020d)</w:t>
            </w:r>
            <w:r>
              <w:t xml:space="preserve">;</w:t>
            </w:r>
            <w:r>
              <w:t xml:space="preserve"> </w:t>
            </w:r>
            <w:r>
              <w:t xml:space="preserve">Birch et al. (2020a)</w:t>
            </w:r>
            <w:r>
              <w:t xml:space="preserve">;</w:t>
            </w:r>
            <w:r>
              <w:t xml:space="preserve"> </w:t>
            </w:r>
            <w:r>
              <w:t xml:space="preserve">Birch et al. (2020b)</w:t>
            </w:r>
            <w:r>
              <w:t xml:space="preserve">;</w:t>
            </w:r>
            <w:r>
              <w:t xml:space="preserve"> </w:t>
            </w:r>
            <w:r>
              <w:t xml:space="preserve">Birch et al. (2020c)</w:t>
            </w:r>
            <w:r>
              <w:t xml:space="preserve">;</w:t>
            </w:r>
            <w:r>
              <w:t xml:space="preserve"> </w:t>
            </w:r>
            <w:r>
              <w:t xml:space="preserve">Dye et al. (2016)</w:t>
            </w:r>
          </w:p>
        </w:tc>
      </w:tr>
    </w:tbl>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sizes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when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w:t>
      </w:r>
      <w:r>
        <w:rPr>
          <w:iCs/>
          <w:i/>
        </w:rPr>
        <w:t xml:space="preserve">i.e.</w:t>
      </w:r>
      <w:r>
        <w:t xml:space="preserve">, back-calculated) DBH, as detailed in Appendix S2.</w:t>
      </w:r>
      <w:r>
        <w:t xml:space="preserve"> </w:t>
      </w:r>
      <w:r>
        <w:t xml:space="preserve">We applied allometric equations for bark thickness to account for changes in bark thickness as the tree grew (Appendix S2; Tables S2, S4).</w:t>
      </w:r>
      <w:r>
        <w:t xml:space="preserve"> </w:t>
      </w: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 relationship with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4">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 (DOI: 10.5281/ZENODO.3958215).</w:t>
      </w:r>
    </w:p>
    <w:bookmarkEnd w:id="25"/>
    <w:bookmarkStart w:id="29" w:name="Data"/>
    <w:p>
      <w:pPr>
        <w:pStyle w:val="Heading2"/>
      </w:pPr>
      <w:r>
        <w:t xml:space="preserve">Data Analysis</w:t>
      </w:r>
    </w:p>
    <w:p>
      <w:pPr>
        <w:pStyle w:val="FirstParagraph"/>
      </w:pPr>
      <w:r>
        <w:t xml:space="preserve">Data analysis consisted of two main steps: (1) identifying the primary climate drivers (i.e., variables and seasonal windows over which they are most influential on tree growth), and (2) combining these climate drivers, DBH, and year into a multivariate model (Fig. 1).</w:t>
      </w:r>
      <w:r>
        <w:t xml:space="preserve"> </w:t>
      </w:r>
      <w:r>
        <w:t xml:space="preserve">The analysis was run separately for each site (step 1), site-species combination (step 2), and each response variable estimating different measures of tree growth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the most influential climate drivers across species in one site would be small compared to cross-site differences (Fig. 2); however, analyses focused on interspecific differences could optimize species-specific climate sensitivity estimates by fitting individually by species.</w:t>
      </w:r>
    </w:p>
    <w:p>
      <w:pPr>
        <w:pStyle w:val="CaptionedFigure"/>
      </w:pPr>
      <w:r>
        <w:drawing>
          <wp:inline>
            <wp:extent cx="5943600" cy="6549135"/>
            <wp:effectExtent b="0" l="0" r="0" t="0"/>
            <wp:docPr descr="Figure 1 | Schematic illustration of the analysis process. In step 1, the R package climwin (van de Pol et al., 2016) 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 Pinus ponderosa P. Lawson &amp; C. Lawson at Little Tesuque, New Mexico, USA."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6"/>
                    <a:stretch>
                      <a:fillRect/>
                    </a:stretch>
                  </pic:blipFill>
                  <pic:spPr bwMode="auto">
                    <a:xfrm>
                      <a:off x="0" y="0"/>
                      <a:ext cx="5943600" cy="6549135"/>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w:t>
      </w:r>
      <w:r>
        <w:t xml:space="preserve"> </w:t>
      </w:r>
      <w:r>
        <w:rPr>
          <w:iCs/>
          <w:i/>
        </w:rPr>
        <w:t xml:space="preserve">Pinus ponderosa</w:t>
      </w:r>
      <w:r>
        <w:t xml:space="preserve"> </w:t>
      </w:r>
      <w:r>
        <w:t xml:space="preserve">P. Lawson &amp; C. Lawson at Little Tesuque, New Mexico, USA.</w:t>
      </w:r>
    </w:p>
    <w:bookmarkStart w:id="27" w:name="Climate"/>
    <w:p>
      <w:pPr>
        <w:pStyle w:val="Heading3"/>
      </w:pPr>
      <w:r>
        <w:t xml:space="preserve">Step 1: Identifying primary climate drivers</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influential climate variable (</w:t>
      </w:r>
      <w:r>
        <w:rPr>
          <w:iCs/>
          <w:i/>
        </w:rPr>
        <w:t xml:space="preserve">i.e.</w:t>
      </w:r>
      <w:r>
        <w:t xml:space="preserve">, that most strongly correlated with annual growth) and the seasonal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and extracted the residual variation for each observation.</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Our application of the thin-plate regression splines acts similar to more traditional a priori detrending methods using a two-thirds spline commonly used in dendrochronology studies and results in similar predictor variable selection</w:t>
      </w:r>
      <w:r>
        <w:t xml:space="preserve"> </w:t>
      </w:r>
      <w:r>
        <w:t xml:space="preserve">(Appendix S4, Cook &amp; Peters, 1997; Rollinson et al., 2021)</w:t>
      </w:r>
      <w:r>
        <w:t xml:space="preserve">.</w:t>
      </w:r>
      <w:r>
        <w:br/>
      </w:r>
      <w:r>
        <w:t xml:space="preserve">We then used</w:t>
      </w:r>
      <w:r>
        <w:t xml:space="preserve"> </w:t>
      </w:r>
      <w:r>
        <w:rPr>
          <w:iCs/>
          <w:i/>
        </w:rPr>
        <w:t xml:space="preserve">climwin</w:t>
      </w:r>
      <w:r>
        <w:t xml:space="preserve"> </w:t>
      </w:r>
      <w:r>
        <w:t xml:space="preserve">to identify the climate drivers that most strongly correlated with the individual tree-level residuals of the growth variables, RW, BAI, or</w:t>
      </w:r>
      <w:r>
        <w:t xml:space="preserve"> </w:t>
      </w:r>
      <m:oMath>
        <m:r>
          <m:t>Δ</m:t>
        </m:r>
      </m:oMath>
      <w:r>
        <w:t xml:space="preserve">AGB, specifying linear and quadratic terms to allow for potential nonlinearities in the climate response.</w:t>
      </w:r>
      <w:r>
        <w:t xml:space="preserve"> </w:t>
      </w:r>
      <w:r>
        <w:t xml:space="preserve">Within</w:t>
      </w:r>
      <w:r>
        <w:t xml:space="preserve"> </w:t>
      </w:r>
      <w:r>
        <w:rPr>
          <w:iCs/>
          <w:i/>
        </w:rPr>
        <w:t xml:space="preserve">climwin</w:t>
      </w:r>
      <w:r>
        <w:t xml:space="preserve">, we specified a mixed-effects model in which the fixed effects were the climate variables and the random intercepts were species (when n</w:t>
      </w:r>
      <w:r>
        <w:t xml:space="preserve"> </w:t>
      </w:r>
      <m:oMath>
        <m:r>
          <m:rPr>
            <m:sty m:val="p"/>
          </m:rPr>
          <m:t>≥</m:t>
        </m:r>
      </m:oMath>
      <w:r>
        <w:t xml:space="preserve"> </w:t>
      </w:r>
      <w:r>
        <w:t xml:space="preserve">3) and core identity (noting that these effects should be minimal given that residuals are centered around zero).</w:t>
      </w:r>
      <w:r>
        <w:t xml:space="preserve"> </w:t>
      </w:r>
      <w:r>
        <w:t xml:space="preserve">For each climate variable, we ran permutations for all possible combinations of consecutive months within a 15-month period ending near the time of growth cessation of each annual ring (Table S1).</w:t>
      </w:r>
      <w:r>
        <w:t xml:space="preserve"> </w:t>
      </w:r>
      <w:r>
        <w:rPr>
          <w:iCs/>
          <w:i/>
        </w:rPr>
        <w:t xml:space="preserve">Climwin</w:t>
      </w:r>
      <w:r>
        <w:t xml:space="preserve"> </w:t>
      </w:r>
      <w:r>
        <w:t xml:space="preserve">runs all potential models to select the best fit (lowest Akaike information criterion corrected for small sample size, AICc), and does k-fold cross-validation in its computation of AICc to guard against over-fitting</w:t>
      </w:r>
      <w:r>
        <w:t xml:space="preserve"> </w:t>
      </w:r>
      <w:r>
        <w:t xml:space="preserve">(van de Pol et al., 2016)</w:t>
      </w:r>
      <w:r>
        <w:t xml:space="preserve">.</w:t>
      </w:r>
      <w:r>
        <w:t xml:space="preserve"> </w:t>
      </w:r>
      <w:r>
        <w:t xml:space="preserve">For each group of candidate climate variables (water and temperature; Fig. 1), we selected the variable - seasonal window combination with the lowest AICc as a candidate climate variable for the multivariate models.</w:t>
      </w:r>
    </w:p>
    <w:p>
      <w:pPr>
        <w:pStyle w:val="BodyText"/>
      </w:pPr>
      <w:r>
        <w:t xml:space="preserve">We tested whether this process identified similar seasonal windows and direction of response as would be identified using traditional methods for four species (detailed in Appendix S4).</w:t>
      </w:r>
      <w:r>
        <w:t xml:space="preserve"> </w:t>
      </w:r>
      <w:r>
        <w:t xml:space="preserve">Furthermore, we explored alternate methods of climate driver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captured these sources of variation (Appendix S5).</w:t>
      </w:r>
    </w:p>
    <w:bookmarkEnd w:id="27"/>
    <w:bookmarkStart w:id="28" w:name="Combining"/>
    <w:p>
      <w:pPr>
        <w:pStyle w:val="Heading3"/>
      </w:pPr>
      <w:r>
        <w:t xml:space="preserve">Step 2: Combining drivers in GLS model</w:t>
      </w:r>
    </w:p>
    <w:p>
      <w:pPr>
        <w:pStyle w:val="FirstParagraph"/>
      </w:pPr>
      <w:r>
        <w:t xml:space="preserve">We next combined the primary climate drivers in temperature and precipitation variable groups (included in all models) and DBH (included in models with DBH and DBH-climate interactions) as candidate variables in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w:t>
      </w:r>
      <w:r>
        <w:t xml:space="preserve"> </w:t>
      </w:r>
      <w:r>
        <w:t xml:space="preserve">In all models, we included core identity as a random intercept and year as a continuous time covariate for the within-group correlation structure (function</w:t>
      </w:r>
      <w:r>
        <w:t xml:space="preserve"> </w:t>
      </w:r>
      <w:r>
        <w:rPr>
          <w:iCs/>
          <w:i/>
        </w:rPr>
        <w:t xml:space="preserve">corCAR1</w:t>
      </w:r>
      <w:r>
        <w:t xml:space="preserve">) to account for temporal autocorrelation (similar to how detrending would).</w:t>
      </w:r>
      <w:r>
        <w:t xml:space="preserve"> </w:t>
      </w:r>
      <w:r>
        <w:t xml:space="preserve">We will refer to this model as a generalized least squares (GLS) model (Fig. 1).</w:t>
      </w:r>
      <w:r>
        <w:t xml:space="preserve"> </w:t>
      </w:r>
      <w:r>
        <w:t xml:space="preserve">Within the GLS models, our response variables were raw, log-transformed growth estimates (as opposed to residuals): log[RW], log[BAI], or log[</w:t>
      </w:r>
      <m:oMath>
        <m:r>
          <m:t>Δ</m:t>
        </m:r>
      </m:oMath>
      <w:r>
        <w:t xml:space="preserve"> </w:t>
      </w:r>
      <w:r>
        <w:t xml:space="preserve">AGB].</w:t>
      </w:r>
      <w:r>
        <w:t xml:space="preserve"> </w:t>
      </w: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Our analysis code was programmed to remove any variable with a variance inflation factor &gt; 3, but none required removal.</w:t>
      </w:r>
    </w:p>
    <w:p>
      <w:pPr>
        <w:pStyle w:val="BodyText"/>
      </w:pPr>
      <w:r>
        <w:t xml:space="preserve">For each species independently, we ran GLS models including every possible combination of independent fixed-effect variables (</w:t>
      </w:r>
      <w:r>
        <w:rPr>
          <w:iCs/>
          <w:i/>
        </w:rPr>
        <w:t xml:space="preserve">i.e.</w:t>
      </w:r>
      <w:r>
        <w:t xml:space="preserve">, candidate climate drivers, DBH, and year), including both first- and second-order terms for each.</w:t>
      </w:r>
      <w:r>
        <w:t xml:space="preserve"> </w:t>
      </w:r>
      <w:r>
        <w:t xml:space="preserve">For climate response, we allowed concave-down fits, but ignored any concave-up fits on the basis that exponential functions would be captured by a linear fit to the log-transformed growth variables, while u-shaped fits are not expected biologically.</w:t>
      </w:r>
    </w:p>
    <w:p>
      <w:pPr>
        <w:pStyle w:val="BodyText"/>
      </w:pPr>
      <w:r>
        <w:t xml:space="preserve">As an example, a full model for log[RW] responses to PPT,</w:t>
      </w:r>
      <w:r>
        <w:t xml:space="preserve"> </w:t>
      </w:r>
      <m:oMath>
        <m:sSub>
          <m:e>
            <m:r>
              <m:t>T</m:t>
            </m:r>
          </m:e>
          <m:sub>
            <m:r>
              <m:t>m</m:t>
            </m:r>
            <m:r>
              <m:t>a</m:t>
            </m:r>
            <m:r>
              <m:t>x</m:t>
            </m:r>
          </m:sub>
        </m:sSub>
      </m:oMath>
      <w:r>
        <w:t xml:space="preserve">, and DBH would look like this in</w:t>
      </w:r>
      <w:r>
        <w:t xml:space="preserve"> </w:t>
      </w:r>
      <w:r>
        <w:rPr>
          <w:iCs/>
          <w:i/>
        </w:rPr>
        <w:t xml:space="preserve">R</w:t>
      </w:r>
      <w:r>
        <w:t xml:space="preserve">:</w:t>
      </w:r>
    </w:p>
    <w:p>
      <w:pPr>
        <w:pStyle w:val="BodyText"/>
      </w:pPr>
      <w:r>
        <w:rPr>
          <w:iCs/>
          <w:i/>
        </w:rPr>
        <w:t xml:space="preserve">lme(log[RW] ~ PPT + I(PPT^2) +</w:t>
      </w:r>
      <w:r>
        <w:rPr>
          <w:iCs/>
          <w:i/>
        </w:rPr>
        <w:t xml:space="preserve"> </w:t>
      </w:r>
      <m:oMath>
        <m:sSub>
          <m:e>
            <m:r>
              <m:t>T</m:t>
            </m:r>
          </m:e>
          <m:sub>
            <m:r>
              <m:t>m</m:t>
            </m:r>
            <m:r>
              <m:t>a</m:t>
            </m:r>
            <m:r>
              <m:t>x</m:t>
            </m:r>
          </m:sub>
        </m:sSub>
      </m:oMath>
      <w:r>
        <w:rPr>
          <w:iCs/>
          <w:i/>
        </w:rPr>
        <w:t xml:space="preserve"> </w:t>
      </w:r>
      <w:r>
        <w:rPr>
          <w:iCs/>
          <w:i/>
        </w:rPr>
        <w:t xml:space="preserve">+ I(</w:t>
      </w:r>
      <m:oMath>
        <m:sSub>
          <m:e>
            <m:r>
              <m:t>T</m:t>
            </m:r>
          </m:e>
          <m:sub>
            <m:r>
              <m:t>m</m:t>
            </m:r>
            <m:r>
              <m:t>a</m:t>
            </m:r>
            <m:r>
              <m:t>x</m:t>
            </m:r>
          </m:sub>
        </m:sSub>
      </m:oMath>
      <w:r>
        <w:rPr>
          <w:iCs/>
          <w:i/>
        </w:rPr>
        <w:t xml:space="preserve">^2) + DBH + I(DBH^2)</w:t>
      </w:r>
      <w:r>
        <w:rPr>
          <w:iCs/>
          <w:i/>
        </w:rPr>
        <w:t xml:space="preserve">“</w:t>
      </w:r>
      <w:r>
        <w:rPr>
          <w:iCs/>
          <w:i/>
        </w:rPr>
        <w:t xml:space="preserve">, random = ~1|coreID, correlation = corCAR1(form=~year|coreID),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for one species at one site (all records after excluding cores as described above, and with no missing values).</w:t>
      </w:r>
      <w:r>
        <w:t xml:space="preserve"> </w:t>
      </w:r>
      <w:r>
        <w:t xml:space="preserve">The method is set to maximum likelihood (</w:t>
      </w:r>
      <w:r>
        <w:rPr>
          <w:iCs/>
          <w:i/>
        </w:rPr>
        <w:t xml:space="preserve">ML</w:t>
      </w:r>
      <w:r>
        <w:t xml:space="preserve">) during the fixed effect model selection phase, but to restricted maximum likelihood (</w:t>
      </w:r>
      <w:r>
        <w:rPr>
          <w:iCs/>
          <w:i/>
        </w:rPr>
        <w:t xml:space="preserve">REML</w:t>
      </w:r>
      <w:r>
        <w:t xml:space="preserve">) for parameter estimation with the best model.</w:t>
      </w:r>
    </w:p>
    <w:p>
      <w:pPr>
        <w:pStyle w:val="BodyText"/>
      </w:pPr>
      <w:r>
        <w:t xml:space="preserve">For models including interactive effects of climate and DBH, we tested for interactions between first-order linear terms for climate drivers and DBH.</w:t>
      </w:r>
    </w:p>
    <w:p>
      <w:pPr>
        <w:pStyle w:val="BodyText"/>
      </w:pPr>
      <w:r>
        <w:t xml:space="preserve">To test for year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and that the core record spanned</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(exception:</w:t>
      </w:r>
      <w:r>
        <w:t xml:space="preserve"> </w:t>
      </w:r>
      <w:r>
        <w:rPr>
          <w:iCs/>
          <w:i/>
        </w:rPr>
        <w:t xml:space="preserve">Abies alba</w:t>
      </w:r>
      <w:r>
        <w:t xml:space="preserve"> </w:t>
      </w:r>
      <w:r>
        <w:t xml:space="preserve">Mill. at ZOF, where mature trees &lt; 50 cm DBH are extremely rare).</w:t>
      </w:r>
      <w:r>
        <w:t xml:space="preserve"> </w:t>
      </w:r>
      <w:r>
        <w:t xml:space="preserve">Species that failed to meet these criteria (n= 8; Table S3) were excluded from the analysis of temporal trends, but were included in analyses of climate and DBH and their interactions.</w:t>
      </w:r>
      <w:r>
        <w:t xml:space="preserve"> </w:t>
      </w:r>
      <w:r>
        <w:t xml:space="preserve">We then ran models as described above, including a first-order linear effect of year.</w:t>
      </w:r>
      <w:r>
        <w:t xml:space="preserve"> </w:t>
      </w:r>
      <w:r>
        <w:t xml:space="preserve">We note that the random effect of tree may reduce analytical biases arising from persistent growth differences among individuals that are not accounted for by DBH or year</w:t>
      </w:r>
      <w:r>
        <w:t xml:space="preserve"> </w:t>
      </w:r>
      <w:r>
        <w:t xml:space="preserve">(Brienen et al., 2017, 2012)</w:t>
      </w:r>
      <w:r>
        <w:t xml:space="preserve">.</w:t>
      </w:r>
      <w:r>
        <w:t xml:space="preserve"> </w:t>
      </w:r>
      <w:r>
        <w:t xml:space="preserve">To verify that GLS model trends for year were not an artifact of inherent covariation between DBH and year within each core, we compared GLS results to an analysis of DBH-growth relationships by decade.</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AICc.</w:t>
      </w:r>
      <w:r>
        <w:t xml:space="preserve"> </w:t>
      </w:r>
      <w:r>
        <w:t xml:space="preserve">We did not run models of precipitation</w:t>
      </w:r>
      <w:r>
        <w:t xml:space="preserve"> </w:t>
      </w:r>
      <m:oMath>
        <m:r>
          <m:rPr>
            <m:sty m:val="p"/>
          </m:rPr>
          <m:t>×</m:t>
        </m:r>
      </m:oMath>
      <w:r>
        <w:t xml:space="preserve"> </w:t>
      </w:r>
      <w:r>
        <w:t xml:space="preserve">temperature, climate</w:t>
      </w:r>
      <w:r>
        <w:t xml:space="preserve"> </w:t>
      </w:r>
      <m:oMath>
        <m:r>
          <m:rPr>
            <m:sty m:val="p"/>
          </m:rPr>
          <m:t>×</m:t>
        </m:r>
      </m:oMath>
      <w:r>
        <w:t xml:space="preserve"> </w:t>
      </w:r>
      <w:r>
        <w:t xml:space="preserve">DBH + year, or climate</w:t>
      </w:r>
      <w:r>
        <w:t xml:space="preserve"> </w:t>
      </w:r>
      <m:oMath>
        <m:r>
          <m:rPr>
            <m:sty m:val="p"/>
          </m:rPr>
          <m:t>×</m:t>
        </m:r>
      </m:oMath>
      <w:r>
        <w:t xml:space="preserve"> </w:t>
      </w:r>
      <w:r>
        <w:t xml:space="preserve">year, which would be possible in the GLS model framework but would require additional statistical and conceptual validation beyond the scope of the current analysis.</w:t>
      </w:r>
    </w:p>
    <w:bookmarkEnd w:id="28"/>
    <w:bookmarkEnd w:id="29"/>
    <w:bookmarkEnd w:id="30"/>
    <w:bookmarkStart w:id="45" w:name="Results"/>
    <w:p>
      <w:pPr>
        <w:pStyle w:val="Heading1"/>
      </w:pPr>
      <w:r>
        <w:t xml:space="preserve">Results</w:t>
      </w:r>
    </w:p>
    <w:bookmarkStart w:id="32"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S1-S4; Table S5; Appendix S4).</w:t>
      </w:r>
      <w:r>
        <w:t xml:space="preserve"> </w:t>
      </w:r>
      <w:r>
        <w:t xml:space="preserve">While one-to-one correspondence of estimated slope coefficients describing the response of tree growth to interannual climatic variation was neither expected nor observed, estimates obtained using the two methods were correlated and rarely differed significantly from one another (Appendix S4; Figs. S1-S4).</w:t>
      </w:r>
    </w:p>
    <w:p>
      <w:pPr>
        <w:pStyle w:val="BodyText"/>
      </w:pPr>
      <w:r>
        <w:t xml:space="preserve">Trends with year, when assessed, were generally consistent with those observed in a separate analysis of DBH-growth relationships by year (Fig. S5).</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species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seasonal windows tested in climwin, where window open and close refer to the start- and end-months of the window tested, expressed as months prior to current August, and cells across the lower diagonal indicate single-month tests (akin to panel a). Panels (b) and (c) give values of linear and quadratic terms for each seasonal window, and (d) gives the difference in Akaike information criterion for small sample sizes \DeltaAICc for each. The seasonal window with the minimum \DeltaAIC (1-3 months prior to August, or May-July; black circles), was identified as the most influential window. Panel (e) shows the correlation of individual-level residuals to PET, with the function fit in climwin. Finally, panel (f)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(species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seasonal windows tested in</w:t>
      </w:r>
      <w:r>
        <w:t xml:space="preserve"> </w:t>
      </w:r>
      <w:r>
        <w:rPr>
          <w:iCs/>
          <w:i/>
        </w:rPr>
        <w:t xml:space="preserve">climwin</w:t>
      </w:r>
      <w:r>
        <w:t xml:space="preserve">, where window open and close refer to the start- and end-months of the window tested, expressed as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seasonal window, and (</w:t>
      </w:r>
      <w:r>
        <w:rPr>
          <w:bCs/>
          <w:b/>
        </w:rPr>
        <w:t xml:space="preserve">d</w:t>
      </w:r>
      <w:r>
        <w:t xml:space="preserve">) gives the difference in Akaike information criterion for small sample sizes</w:t>
      </w:r>
      <w:r>
        <w:t xml:space="preserve"> </w:t>
      </w:r>
      <m:oMath>
        <m:r>
          <m:t>Δ</m:t>
        </m:r>
      </m:oMath>
      <w:r>
        <w:t xml:space="preserve">AICc for each. The seasonal window with the minimum</w:t>
      </w:r>
      <w:r>
        <w:t xml:space="preserve"> </w:t>
      </w:r>
      <m:oMath>
        <m:r>
          <m:t>Δ</m:t>
        </m:r>
      </m:oMath>
      <w:r>
        <w:t xml:space="preserve">AIC (1-3 months prior to August, or May-July; black circles), was identified as the most influential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w:t>
      </w:r>
    </w:p>
    <w:bookmarkEnd w:id="32"/>
    <w:bookmarkStart w:id="34" w:name="Full"/>
    <w:p>
      <w:pPr>
        <w:pStyle w:val="Heading2"/>
      </w:pPr>
      <w:r>
        <w:t xml:space="preserve">Full model results overview</w:t>
      </w:r>
    </w:p>
    <w:p>
      <w:pPr>
        <w:pStyle w:val="FirstParagraph"/>
      </w:pPr>
      <w:r>
        <w:t xml:space="preserve">When a precipitation variable and a temperature variable (each selected using</w:t>
      </w:r>
      <w:r>
        <w:t xml:space="preserve"> </w:t>
      </w:r>
      <w:r>
        <w:rPr>
          <w:iCs/>
          <w:i/>
        </w:rPr>
        <w:t xml:space="preserve">climwin</w:t>
      </w:r>
      <w:r>
        <w:t xml:space="preserve">; e.g., Figs. 2, S6-S9), DBH, and calendar year were all included as candidate variables in the GLS models, the most common outcome was that all four were included in the top model and had statistically significant effects (p</w:t>
      </w:r>
      <w:r>
        <w:t xml:space="preserve"> </w:t>
      </w:r>
      <m:oMath>
        <m:r>
          <m:rPr>
            <m:sty m:val="p"/>
          </m:rPr>
          <m:t>≤</m:t>
        </m:r>
      </m:oMath>
      <w:r>
        <w:t xml:space="preserve"> </w:t>
      </w:r>
      <w:r>
        <w:t xml:space="preserve">0.05), regardless of the growth metric used (Fig. 3).</w:t>
      </w:r>
      <w:r>
        <w:t xml:space="preserve"> </w:t>
      </w:r>
      <w:r>
        <w:t xml:space="preserve">In general, DBH and calendar year explained more variation in growth rates than did climate, but their relative importance varied across growth metrics and sites (e.g., Figs. S10 - S13).</w:t>
      </w:r>
      <w:r>
        <w:t xml:space="preserve"> </w:t>
      </w:r>
      <w:r>
        <w:t xml:space="preserve">Climate responses were generally similar regardless of the other variables included,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4, S10).</w:t>
      </w:r>
      <w:r>
        <w:t xml:space="preserve"> </w:t>
      </w:r>
      <w:r>
        <w:t xml:space="preserve">In contrast, effects of DBH and year often interacted such that the shape of the DBH response curve or its inclusion in the top model were frequently modified by the inclusion of calendar year (Fig. 3).</w:t>
      </w:r>
    </w:p>
    <w:p>
      <w:pPr>
        <w:pStyle w:val="CaptionedFigure"/>
      </w:pPr>
      <w:r>
        <w:drawing>
          <wp:inline>
            <wp:extent cx="5943600" cy="5629539"/>
            <wp:effectExtent b="0" l="0" r="0" t="0"/>
            <wp:docPr descr="Figure 3 | Summary of top models for ring width (RW) as a function of climate (water and temperature variables), diameter at breast height (DBH), and calendar year. Arrow shapes approximate responses detailed in Figs. 4, 6, and S16. Each symbol indicates one species, and species are ordered alphabetically within each site. Overlapping arrows for the same species indicate that the response shape changed when Year was included in the model. For species on which the effect of Year was tested, the presence of only an arrow representing models without Year indicates that the effect was not included in the top models with Year. Interactive effects of climate and DBH are not shown. BCNM through SC are codes for ten forested sites spanning 52 degrees latitude (Table 2); sites are ordered by descending mean annual temperature." title="" id="1" name="Picture"/>
            <a:graphic>
              <a:graphicData uri="http://schemas.openxmlformats.org/drawingml/2006/picture">
                <pic:pic>
                  <pic:nvPicPr>
                    <pic:cNvPr descr="tables_figures/SummaryFigure.png" id="0" name="Picture"/>
                    <pic:cNvPicPr>
                      <a:picLocks noChangeArrowheads="1" noChangeAspect="1"/>
                    </pic:cNvPicPr>
                  </pic:nvPicPr>
                  <pic:blipFill>
                    <a:blip r:embed="rId33"/>
                    <a:stretch>
                      <a:fillRect/>
                    </a:stretch>
                  </pic:blipFill>
                  <pic:spPr bwMode="auto">
                    <a:xfrm>
                      <a:off x="0" y="0"/>
                      <a:ext cx="5943600" cy="5629539"/>
                    </a:xfrm>
                    <a:prstGeom prst="rect">
                      <a:avLst/>
                    </a:prstGeom>
                    <a:noFill/>
                    <a:ln w="9525">
                      <a:noFill/>
                      <a:headEnd/>
                      <a:tailEnd/>
                    </a:ln>
                  </pic:spPr>
                </pic:pic>
              </a:graphicData>
            </a:graphic>
          </wp:inline>
        </w:drawing>
      </w:r>
    </w:p>
    <w:p>
      <w:pPr>
        <w:pStyle w:val="ImageCaption"/>
      </w:pPr>
      <w:r>
        <w:rPr>
          <w:bCs/>
          <w:b/>
        </w:rPr>
        <w:t xml:space="preserve">Figure 3 | Summary of top models for ring width (RW) as a function of climate (water and temperature variables), diameter at breast height (DBH), and calendar year</w:t>
      </w:r>
      <w:r>
        <w:t xml:space="preserve">. Arrow shapes approximate responses detailed in Figs. 4, 6, and S16. Each symbol indicates one species, and species are ordered alphabetically within each site. Overlapping arrows for the same species indicate that the response shape changed when</w:t>
      </w:r>
      <w:r>
        <w:t xml:space="preserve"> </w:t>
      </w:r>
      <w:r>
        <w:rPr>
          <w:iCs/>
          <w:i/>
        </w:rPr>
        <w:t xml:space="preserve">Year</w:t>
      </w:r>
      <w:r>
        <w:t xml:space="preserve"> </w:t>
      </w:r>
      <w:r>
        <w:t xml:space="preserve">was included in the model. For species on which the effect of</w:t>
      </w:r>
      <w:r>
        <w:t xml:space="preserve"> </w:t>
      </w:r>
      <w:r>
        <w:rPr>
          <w:iCs/>
          <w:i/>
        </w:rPr>
        <w:t xml:space="preserve">Year</w:t>
      </w:r>
      <w:r>
        <w:t xml:space="preserve"> </w:t>
      </w:r>
      <w:r>
        <w:t xml:space="preserve">was tested, the presence of only an arrow representing models without</w:t>
      </w:r>
      <w:r>
        <w:t xml:space="preserve"> </w:t>
      </w:r>
      <w:r>
        <w:rPr>
          <w:iCs/>
          <w:i/>
        </w:rPr>
        <w:t xml:space="preserve">Year</w:t>
      </w:r>
      <w:r>
        <w:t xml:space="preserve"> </w:t>
      </w:r>
      <w:r>
        <w:t xml:space="preserve">indicates that the effect was not included in the top models with</w:t>
      </w:r>
      <w:r>
        <w:t xml:space="preserve"> </w:t>
      </w:r>
      <w:r>
        <w:rPr>
          <w:iCs/>
          <w:i/>
        </w:rPr>
        <w:t xml:space="preserve">Year</w:t>
      </w:r>
      <w:r>
        <w:t xml:space="preserve">. Interactive effects of climate and DBH are not shown. BCNM through SC are codes for ten forested sites spanning 52 degrees latitude (Table 2); sites are ordered by descending mean annual temperature.</w:t>
      </w:r>
    </w:p>
    <w:bookmarkEnd w:id="34"/>
    <w:bookmarkStart w:id="40" w:name="Climate"/>
    <w:p>
      <w:pPr>
        <w:pStyle w:val="Heading2"/>
      </w:pPr>
      <w:r>
        <w:t xml:space="preserve">Climate sensitivity</w:t>
      </w:r>
    </w:p>
    <w:bookmarkStart w:id="35" w:name="Most"/>
    <w:p>
      <w:pPr>
        <w:pStyle w:val="Heading3"/>
      </w:pPr>
      <w:r>
        <w:t xml:space="preserve">Most influential climate drivers</w:t>
      </w:r>
    </w:p>
    <w:p>
      <w:pPr>
        <w:pStyle w:val="FirstParagraph"/>
      </w:pPr>
      <w:r>
        <w:t xml:space="preserve">At each site, the three metrics of growth (RW, BAI, and</w:t>
      </w:r>
      <w:r>
        <w:t xml:space="preserve"> </w:t>
      </w:r>
      <m:oMath>
        <m:r>
          <m:t>Δ</m:t>
        </m:r>
      </m:oMath>
      <w:r>
        <w:t xml:space="preserve">AGB) exhibited similar patterns in the direction of response, and relative strength of correlation, to climate variables across the range of potential seasonal windows.</w:t>
      </w:r>
      <w:r>
        <w:t xml:space="preserve"> </w:t>
      </w:r>
      <w:r>
        <w:t xml:space="preserve">However, the seasonal window exhibiting the strongest climatic effect on growth, and even the most influential climate variable, sometimes differed among the growth metrics.</w:t>
      </w:r>
      <w:r>
        <w:t xml:space="preserve"> </w:t>
      </w:r>
      <w:r>
        <w:t xml:space="preserve">For eight of 20 site-variable group combinations (i.e., water and temperature, each at 10 sites), both the most influential climate variable and seasonal window were identical across growth metrics (e.g., PPT at SCBI; Fig. S7).</w:t>
      </w:r>
      <w:r>
        <w:t xml:space="preserve"> </w:t>
      </w:r>
      <w:r>
        <w:t xml:space="preserve">For nine site-variable group combinations,</w:t>
      </w:r>
      <w:r>
        <w:t xml:space="preserve"> </w:t>
      </w:r>
      <w:r>
        <w:rPr>
          <w:iCs/>
          <w:i/>
        </w:rPr>
        <w:t xml:space="preserve">climwin</w:t>
      </w:r>
      <w:r>
        <w:t xml:space="preserve"> </w:t>
      </w:r>
      <w:r>
        <w:t xml:space="preserve">identified the same climate variable and overlapping seasonal windows (e.g., PET at SCBI Fig. S8),</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seasonal windows (Fig. S6).</w:t>
      </w:r>
      <w:r>
        <w:t xml:space="preserve"> </w:t>
      </w:r>
      <w:r>
        <w:t xml:space="preserve">For just two site-variable group combinations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seasonal windows and, for precipitation, different variables (PPT and PDF; Fig. S9).</w:t>
      </w:r>
      <w:r>
        <w:t xml:space="preserve"> </w:t>
      </w:r>
      <w:r>
        <w:t xml:space="preserve">Henceforth, unless otherwise noted, we focus on the climate sensitivities identified using RW as the growth metric and for the full set of cores (i.e., including those for which DBH could not be reconstructed).</w:t>
      </w:r>
    </w:p>
    <w:p>
      <w:pPr>
        <w:pStyle w:val="BodyText"/>
      </w:pPr>
      <w:r>
        <w:t xml:space="preserve">Precipitation amount (PPT) was selected over precipitation frequency (PDF) as the top variable in five of the eight sites for which both variables were available (but had no significant main effect at one site, NIO), and was the only option at two sites (LT and CB).</w:t>
      </w:r>
      <w:r>
        <w:t xml:space="preserve"> </w:t>
      </w:r>
      <w:r>
        <w:t xml:space="preserve">The most influential seasonal windows were most commonly long (</w:t>
      </w:r>
      <m:oMath>
        <m:r>
          <m:rPr>
            <m:sty m:val="p"/>
          </m:rPr>
          <m:t>≥</m:t>
        </m:r>
      </m:oMath>
      <w:r>
        <w:t xml:space="preserve"> </w:t>
      </w:r>
      <w:r>
        <w:t xml:space="preserve">3 months at 7 of the 9 sites with significant main effects) and coincided at least partially with months of active growth in the current year (Fig. 4; Table S1): year-round in the tropics (BCNM and HKK) or late spring/ summer outside of the tropics (n= 5 of 7 sites with significant main effects).</w:t>
      </w:r>
      <w:r>
        <w:t xml:space="preserve"> </w:t>
      </w:r>
      <w:r>
        <w:t xml:space="preserve">In the tropics, the long time-windows over which precipitation was influential (12 mo at BCNM, 9 mo at HKK) also included the majority (BCNM) or all (HKK) of the dry season months (&lt; 100 mm rainfall / month).</w:t>
      </w:r>
      <w:r>
        <w:t xml:space="preserve"> </w:t>
      </w:r>
      <w:r>
        <w:t xml:space="preserve">Outside of the tropics, the most influential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p>
    <w:p>
      <w:pPr>
        <w:pStyle w:val="BodyText"/>
      </w:pPr>
      <w:r>
        <w:t xml:space="preserve">Within the temperature group (Fig. 1), the most commonly selected variables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4).</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The most influential seasonal windows for temperature tended to be shorter than those of precipitation (</w:t>
      </w:r>
      <m:oMath>
        <m:r>
          <m:rPr>
            <m:sty m:val="p"/>
          </m:rPr>
          <m:t>≤</m:t>
        </m:r>
      </m:oMath>
      <w:r>
        <w:t xml:space="preserve"> </w:t>
      </w:r>
      <w:r>
        <w:t xml:space="preserve">3 months at 9 of 10 sites).</w:t>
      </w:r>
      <w:r>
        <w:t xml:space="preserve"> </w:t>
      </w:r>
      <w:r>
        <w:t xml:space="preserve">They most commonly occurred during the current growing season (n= 5 of 10 sites), but there were cases where the most influential windows occurred during the preceding dry season (BCNM), late winter/early spring (HF, ZOF), or the previous growing season (NIO, CB).</w:t>
      </w:r>
      <w:r>
        <w:t xml:space="preserve"> </w:t>
      </w:r>
      <w:r>
        <w:t xml:space="preserve">Temperature and precipitation variables were rarely influential over the same seasonal window (exception: LDW).</w:t>
      </w:r>
    </w:p>
    <w:bookmarkEnd w:id="35"/>
    <w:bookmarkStart w:id="37" w:name="Climate"/>
    <w:p>
      <w:pPr>
        <w:pStyle w:val="Heading3"/>
      </w:pPr>
      <w:r>
        <w:t xml:space="preserve">Climate responses</w:t>
      </w:r>
    </w:p>
    <w:p>
      <w:pPr>
        <w:pStyle w:val="FirstParagraph"/>
      </w:pPr>
      <w:r>
        <w:t xml:space="preserve">Analyses of species-specific responses at each site used the GLS model to test for first- and negative second- order linear effects of both a precipitation and a temperature variable.</w:t>
      </w:r>
      <w:r>
        <w:t xml:space="preserve"> </w:t>
      </w:r>
      <w:r>
        <w:t xml:space="preserve">Both a precipitation and a temperature variable were included in the top model for 78% (n=36 of 46) of site-species combinations (Fig. 4).</w:t>
      </w:r>
      <w:r>
        <w:t xml:space="preserve"> </w:t>
      </w:r>
      <w:r>
        <w:t xml:space="preserve">There were seven site-species combinations for which only a precipitation term was significant (two at BCNM, three at SCBI, and two at LDW), two for which only a temperature term was significant (</w:t>
      </w:r>
      <w:r>
        <w:rPr>
          <w:iCs/>
          <w:i/>
        </w:rPr>
        <w:t xml:space="preserve">Chukrasia tabularis</w:t>
      </w:r>
      <w:r>
        <w:t xml:space="preserve"> </w:t>
      </w:r>
      <w:r>
        <w:t xml:space="preserve">A. Juss. at HKK and</w:t>
      </w:r>
      <w:r>
        <w:t xml:space="preserve"> </w:t>
      </w:r>
      <w:r>
        <w:rPr>
          <w:iCs/>
          <w:i/>
        </w:rPr>
        <w:t xml:space="preserve">Betula papyrifera</w:t>
      </w:r>
      <w:r>
        <w:t xml:space="preserve"> </w:t>
      </w:r>
      <w:r>
        <w:t xml:space="preserve">Marshall at NIO), and none with no significant climatic effects on RW.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4 | Species-level responses of ring width (RW) to climwin-selected variables in precipitation and temperature variable groups for 10 sites. 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Species-level responses of ring width (RW) to climwin-selected variables in precipitation and temperature variable groups for 10 sites.</w:t>
      </w:r>
      <w:r>
        <w:t xml:space="preserve"> </w:t>
      </w:r>
      <w:r>
        <w:t xml:space="preserve">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w:t>
      </w:r>
    </w:p>
    <w:p>
      <w:pPr>
        <w:pStyle w:val="BodyText"/>
      </w:pPr>
      <w:r>
        <w:t xml:space="preserve">Responses to precipitation amount (PPT) and frequency (PDF) were included in the best model for all but two species-site combinations, and were predominantly positive (Table 1, Fig. 4).</w:t>
      </w:r>
      <w:r>
        <w:t xml:space="preserve"> </w:t>
      </w:r>
      <w:r>
        <w:t xml:space="preserve">Specifically, there were positive first-order linear terms for precipitation for all but one species-site combination (</w:t>
      </w:r>
      <w:r>
        <w:rPr>
          <w:iCs/>
          <w:i/>
        </w:rPr>
        <w:t xml:space="preserve">Tsuga canadensis</w:t>
      </w:r>
      <w:r>
        <w:t xml:space="preserve"> </w:t>
      </w:r>
      <w:r>
        <w:t xml:space="preserve">(L.) Carrière at HF; Fig. 4).</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Britton at HF; Fig. 4).</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4).</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the most influential seasonal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4).</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(Mill.) Britton, Sterns &amp; Poggenb. responded positively (but with wide 95% CI on the slope) to temperature over the full analysis period (1903-2013); however, responses were predominantly positive prior to 1970 and predominantly negative afterwards (Fig. S14).</w:t>
      </w:r>
    </w:p>
    <w:bookmarkEnd w:id="37"/>
    <w:bookmarkStart w:id="39" w:name="Variation"/>
    <w:p>
      <w:pPr>
        <w:pStyle w:val="Heading3"/>
      </w:pPr>
      <w:r>
        <w:t xml:space="preserve">Variation in climate sensitivity with DBH</w:t>
      </w:r>
    </w:p>
    <w:p>
      <w:pPr>
        <w:pStyle w:val="FirstParagraph"/>
      </w:pPr>
      <w:r>
        <w:t xml:space="preserve">Interactive effects of climate and DBH were found for 90 of the 203 (44%) species-site-variable (RW, BAI, or</w:t>
      </w:r>
      <w:r>
        <w:t xml:space="preserve"> </w:t>
      </w:r>
      <m:oMath>
        <m:r>
          <m:t>Δ</m:t>
        </m:r>
      </m:oMath>
      <w:r>
        <w:t xml:space="preserve">DBH) combinations for which they were tested.</w:t>
      </w:r>
      <w:r>
        <w:t xml:space="preserve"> </w:t>
      </w:r>
      <w:r>
        <w:t xml:space="preserve">For precipitation variables, interactions were significant for 16 of the 36 (44%) interactions with RW as the growth metric (Fig. S15) and for 17 of the 36 (47%) with BAI as the growth metric.</w:t>
      </w:r>
      <w:r>
        <w:t xml:space="preserve"> </w:t>
      </w:r>
      <w:r>
        <w:t xml:space="preserve">The majority of these interactions were positive (75% for RW; 65% for BAI), indicating that larger trees generally respond more positively to precipitation or its frequency (Fig. 5).</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S15) and for 50% with BAI as the growth metric.</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5), whereas positive interactions were more common when the main effect of temperature was positive (e.g., HF, ZOF).</w:t>
      </w:r>
    </w:p>
    <w:p>
      <w:pPr>
        <w:pStyle w:val="CaptionedFigure"/>
      </w:pPr>
      <w:r>
        <w:drawing>
          <wp:inline>
            <wp:extent cx="5943600" cy="5943600"/>
            <wp:effectExtent b="0" l="0" r="0" t="0"/>
            <wp:docPr descr="Figure 5 | Examples of climate - diameter at breast height (DBH) interactions for three tree species at three sites. 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diameter at breast height (DBH) interactions for three tree species at three sites.</w:t>
      </w:r>
      <w:r>
        <w:t xml:space="preserve"> </w:t>
      </w:r>
      <w:r>
        <w:t xml:space="preserve">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w:t>
      </w:r>
    </w:p>
    <w:bookmarkEnd w:id="39"/>
    <w:bookmarkEnd w:id="40"/>
    <w:bookmarkStart w:id="4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with DBH for most species at all sites (Fig. 6).</w:t>
      </w:r>
      <w:r>
        <w:t xml:space="preserve"> </w:t>
      </w:r>
      <w:r>
        <w:t xml:space="preserve">Because the effects of calendar year could not be evaluated for all species (Fig. 3), the DBH trends described here refer to models without year.</w:t>
      </w:r>
      <w:r>
        <w:t xml:space="preserve"> </w:t>
      </w:r>
      <w:r>
        <w:t xml:space="preserve">Relationships between population-mean growth rate and DBH were best described by models with second-order terms for the majority of site-species combinations (81 - 98% depending on growth metric; Fig. 6).</w:t>
      </w:r>
    </w:p>
    <w:p>
      <w:pPr>
        <w:pStyle w:val="BodyText"/>
      </w:pPr>
      <w:r>
        <w:t xml:space="preserve">For RW, DBH was included in the best model for 81% of species-site combinations (n= 35 of 43), and the majority of best models also included a significant second-order term (n= 26, 21 of which were negative).</w:t>
      </w:r>
      <w:r>
        <w:t xml:space="preserve"> </w:t>
      </w:r>
      <w:r>
        <w:t xml:space="preserve">There was substantial variation in these trends, with patterns mixed across both forests and species within a single stand (Fig. 6).</w:t>
      </w:r>
      <w:r>
        <w:t xml:space="preserve"> </w:t>
      </w:r>
      <w:r>
        <w:t xml:space="preserve">On one end of the spectrum, some species exhibited maximum RW at low DBH, followed by fairly rapid declines in RW with increasing DBH.</w:t>
      </w:r>
      <w:r>
        <w:t xml:space="preserve"> </w:t>
      </w:r>
      <w:r>
        <w:t xml:space="preserve">This pattern was common among light-demanding species (6 of 13 site-species combinations; Tables 1, S2; e.g.,</w:t>
      </w:r>
      <w:r>
        <w:t xml:space="preserve"> </w:t>
      </w:r>
      <w:r>
        <w:rPr>
          <w:iCs/>
          <w:i/>
        </w:rPr>
        <w:t xml:space="preserve">Melia azedarach</w:t>
      </w:r>
      <w:r>
        <w:t xml:space="preserve"> </w:t>
      </w:r>
      <w:r>
        <w:t xml:space="preserve">L. at HKK,</w:t>
      </w:r>
      <w:r>
        <w:t xml:space="preserve"> </w:t>
      </w:r>
      <w:r>
        <w:rPr>
          <w:iCs/>
          <w:i/>
        </w:rPr>
        <w:t xml:space="preserve">Populous tremuloides</w:t>
      </w:r>
      <w:r>
        <w:t xml:space="preserve"> </w:t>
      </w:r>
      <w:r>
        <w:t xml:space="preserve">Michx. at CB) and in relatively open stands (e.g., both species at LT,</w:t>
      </w:r>
      <w:r>
        <w:t xml:space="preserve"> </w:t>
      </w:r>
      <w:r>
        <w:rPr>
          <w:iCs/>
          <w:i/>
        </w:rPr>
        <w:t xml:space="preserve">Picea mariana</w:t>
      </w:r>
      <w:r>
        <w:t xml:space="preserve"> </w:t>
      </w:r>
      <w:r>
        <w:t xml:space="preserve">at SC; Fig. 6).</w:t>
      </w:r>
      <w:r>
        <w:t xml:space="preserve"> </w:t>
      </w:r>
      <w:r>
        <w:t xml:space="preserve">At the other end of the spectrum, some species had low RW at small DBH, increased to peak RW at intermediate DBH, and subsequently declined.</w:t>
      </w:r>
      <w:r>
        <w:t xml:space="preserve"> </w:t>
      </w:r>
      <w:r>
        <w:t xml:space="preserve">This pattern was common among shade-tolerant species (8 of 11 site-species combinations; Table 1;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Picea</w:t>
      </w:r>
      <w:r>
        <w:t xml:space="preserve"> </w:t>
      </w:r>
      <w:r>
        <w:t xml:space="preserve">spp. at ZOF and CB; Table S2), and universal for shade-tolerant species in models accounting for calendar year (Fig. 3).</w:t>
      </w:r>
    </w:p>
    <w:p>
      <w:pPr>
        <w:pStyle w:val="BodyText"/>
      </w:pPr>
      <w:r>
        <w:t xml:space="preserve">Trends in both BAI and</w:t>
      </w:r>
      <w:r>
        <w:t xml:space="preserve"> </w:t>
      </w:r>
      <m:oMath>
        <m:r>
          <m:t>Δ</m:t>
        </m:r>
      </m:oMath>
      <w:r>
        <w:t xml:space="preserve">AGB were far more consistent across sites and species, typically increasing to a peak at intermediate DBH and then declining (Table 1, Fig. 6).</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L. at HF), with a positive coefficient for DBH in 40 (exceptions: non-significant negative coefficients for</w:t>
      </w:r>
      <w:r>
        <w:t xml:space="preserve"> </w:t>
      </w:r>
      <w:r>
        <w:rPr>
          <w:iCs/>
          <w:i/>
        </w:rPr>
        <w:t xml:space="preserve">Pinus ponderosa</w:t>
      </w:r>
      <w:r>
        <w:t xml:space="preserve"> </w:t>
      </w:r>
      <w:r>
        <w:t xml:space="preserve">P. Lawson &amp; C. Lawson at LT and</w:t>
      </w:r>
      <w:r>
        <w:t xml:space="preserve"> </w:t>
      </w:r>
      <w:r>
        <w:rPr>
          <w:iCs/>
          <w:i/>
        </w:rPr>
        <w:t xml:space="preserve">Pinus longaeva</w:t>
      </w:r>
      <w:r>
        <w:t xml:space="preserve"> </w:t>
      </w:r>
      <w:r>
        <w:t xml:space="preserve">D.K. Bailey 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6 | Growth sensitivity to diameter at breast height (DBH): (a) ring width (RW), (b) basal area increment (BAI), (c) \Delta aboveground biomass (AGB). 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Growth sensitivity to diameter at breast height (DBH): (a) ring width (RW), (b) basal area increment (BAI), (c)</w:t>
      </w:r>
      <w:r>
        <w:rPr>
          <w:bCs/>
          <w:b/>
        </w:rPr>
        <w:t xml:space="preserve"> </w:t>
      </w:r>
      <m:oMath>
        <m:r>
          <m:t>Δ</m:t>
        </m:r>
      </m:oMath>
      <w:r>
        <w:rPr>
          <w:bCs/>
          <w:b/>
        </w:rPr>
        <w:t xml:space="preserve"> </w:t>
      </w:r>
      <w:r>
        <w:rPr>
          <w:bCs/>
          <w:b/>
        </w:rPr>
        <w:t xml:space="preserve">aboveground biomass (AGB).</w:t>
      </w:r>
      <w:r>
        <w:t xml:space="preserve"> </w:t>
      </w:r>
      <w:r>
        <w:t xml:space="preserve">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7, S16).</w:t>
      </w:r>
      <w:r>
        <w:t xml:space="preserve"> </w:t>
      </w:r>
      <w:r>
        <w:t xml:space="preserve">In 90-91% of cases (depending on growth metric), the growth trend over time was negative.</w:t>
      </w:r>
      <w:r>
        <w:t xml:space="preserve"> </w:t>
      </w:r>
      <w:r>
        <w:t xml:space="preserve">Declines were particularly prevalent in secondary or disturbed forests, occurring in 92% of species-site combinations (100% of all species with significant year effects) at the seven disturbed sites (Table 1, Fig. 7).</w:t>
      </w:r>
      <w:r>
        <w:t xml:space="preserve"> </w:t>
      </w:r>
      <w:r>
        <w:t xml:space="preserve">In older forests (ZOF, LT, CB), growth trends were mixed (Table 1, Figs. 7, S16).</w:t>
      </w:r>
      <w:r>
        <w:t xml:space="preserve"> </w:t>
      </w:r>
      <w:r>
        <w:t xml:space="preserve">Significant positive growth trends were observed for only three species (consistently across all three growth metrics),</w:t>
      </w:r>
      <w:r>
        <w:t xml:space="preserve"> </w:t>
      </w:r>
      <w:r>
        <w:rPr>
          <w:iCs/>
          <w:i/>
        </w:rPr>
        <w:t xml:space="preserve">Fagus sylvatica</w:t>
      </w:r>
      <w:r>
        <w:t xml:space="preserve"> </w:t>
      </w:r>
      <w:r>
        <w:t xml:space="preserve">L. at ZOF,</w:t>
      </w:r>
      <w:r>
        <w:t xml:space="preserve"> </w:t>
      </w:r>
      <w:r>
        <w:rPr>
          <w:iCs/>
          <w:i/>
        </w:rPr>
        <w:t xml:space="preserve">Picea pungens</w:t>
      </w:r>
      <w:r>
        <w:t xml:space="preserve"> </w:t>
      </w:r>
      <w:r>
        <w:t xml:space="preserve">Engelm. and</w:t>
      </w:r>
      <w:r>
        <w:t xml:space="preserve"> </w:t>
      </w:r>
      <w:r>
        <w:rPr>
          <w:iCs/>
          <w:i/>
        </w:rPr>
        <w:t xml:space="preserve">Pinus flexilis</w:t>
      </w:r>
      <w:r>
        <w:t xml:space="preserve"> </w:t>
      </w:r>
      <w:r>
        <w:t xml:space="preserve">E. James 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 Juss. at HKK,</w:t>
      </w:r>
      <w:r>
        <w:t xml:space="preserve"> </w:t>
      </w:r>
      <w:r>
        <w:rPr>
          <w:iCs/>
          <w:i/>
        </w:rPr>
        <w:t xml:space="preserve">Pinus strobiformis</w:t>
      </w:r>
      <w:r>
        <w:t xml:space="preserve"> </w:t>
      </w:r>
      <w:r>
        <w:t xml:space="preserve">Engelm. at LT, and</w:t>
      </w:r>
      <w:r>
        <w:t xml:space="preserve"> </w:t>
      </w:r>
      <w:r>
        <w:rPr>
          <w:iCs/>
          <w:i/>
        </w:rPr>
        <w:t xml:space="preserve">Picea engelmannii</w:t>
      </w:r>
      <w:r>
        <w:t xml:space="preserve"> </w:t>
      </w:r>
      <w:r>
        <w:t xml:space="preserve">Engelm. 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3,S11, S12).</w:t>
      </w:r>
    </w:p>
    <w:p>
      <w:pPr>
        <w:pStyle w:val="CaptionedFigure"/>
      </w:pPr>
      <w:r>
        <w:drawing>
          <wp:inline>
            <wp:extent cx="5943600" cy="5943600"/>
            <wp:effectExtent b="0" l="0" r="0" t="0"/>
            <wp:docPr descr="Figure 7 | Effect of year, when included in the best model, on basal area increment (BAI). 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7 | Effect of year, when included in the best model, on basal area increment (BAI).</w:t>
      </w:r>
      <w:r>
        <w:t xml:space="preserve"> </w:t>
      </w:r>
      <w:r>
        <w:t xml:space="preserve">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4"/>
    <w:bookmarkEnd w:id="45"/>
    <w:bookmarkStart w:id="50" w:name="Discussion"/>
    <w:p>
      <w:pPr>
        <w:pStyle w:val="Heading1"/>
      </w:pPr>
      <w:r>
        <w:t xml:space="preserve">Discussion</w:t>
      </w:r>
    </w:p>
    <w:p>
      <w:pPr>
        <w:pStyle w:val="FirstParagraph"/>
      </w:pPr>
      <w:r>
        <w:t xml:space="preserve">The long-term growth records contained in tree rings provide an exceptional tool for understanding past drivers of growth and anticipating future forest changes, yet traditional dendrochronological analysis methods were not designed to disentangle multiple, simultaneously acting drivers of tree growth, nor their implications for whole-forest productivity.</w:t>
      </w:r>
      <w:r>
        <w:t xml:space="preserve"> </w:t>
      </w:r>
      <w:r>
        <w:t xml:space="preserve">Our novel method provides a powerful approach to elucidate how tree growth is simultaneously shaped by climate, tree size, slowly changing environmental conditions, and their interactions.</w:t>
      </w:r>
      <w:r>
        <w:t xml:space="preserve"> </w:t>
      </w:r>
      <w:r>
        <w:t xml:space="preserve">Analyzed with respect to each of these drivers individually, our method yields results that are consistent with what would be obtained using established methods.</w:t>
      </w:r>
      <w:r>
        <w:t xml:space="preserve"> </w:t>
      </w:r>
      <w:r>
        <w:t xml:space="preserve">Beyond this, because our approach considers these factors simultaneously, it allows analyses of their joint and interactive effects.</w:t>
      </w:r>
      <w:r>
        <w:t xml:space="preserve"> </w:t>
      </w:r>
      <w:r>
        <w:t xml:space="preserve">Applied across a wide range of forest types and species distributed globally across 10 sites, we have shown that tree species vary in the shapes of their functional responses with respect to size-related sensitivity to different climate variables.</w:t>
      </w:r>
      <w:r>
        <w:t xml:space="preserve"> </w:t>
      </w:r>
      <w:r>
        <w:t xml:space="preserve">Dissecting these species-specific long-term responses is essential to understanding the drivers of variability and directional changes in tree growth over the past century, and to predicting changes in forest composition and function in the future.</w:t>
      </w:r>
    </w:p>
    <w:bookmarkStart w:id="46" w:name="Climate"/>
    <w:p>
      <w:pPr>
        <w:pStyle w:val="Heading2"/>
      </w:pPr>
      <w:r>
        <w:t xml:space="preserve">Climate sensitivity</w:t>
      </w:r>
    </w:p>
    <w:p>
      <w:pPr>
        <w:pStyle w:val="FirstParagraph"/>
      </w:pPr>
      <w:r>
        <w:t xml:space="preserve">Across diverse climates and forest types (Table 2), growth rates of 40 tree species usually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(Table 1, Figs. 3, 4).</w:t>
      </w:r>
      <w:r>
        <w:t xml:space="preserve"> </w:t>
      </w:r>
      <w:r>
        <w:t xml:space="preserve">These findings are generally consistent with current understanding of global-scale patterns in climate sensitivity</w:t>
      </w:r>
      <w:r>
        <w:t xml:space="preserve"> </w:t>
      </w:r>
      <w:r>
        <w:t xml:space="preserve">(Babst et al., 2019; Rozendaal &amp; Zuidema, 2011)</w:t>
      </w:r>
      <w:r>
        <w:t xml:space="preserve">: outside of the wet tropics (where there are few tree-ring records), the majority of forests are moisture limited and respond negatively to temperature, with a shrinking area of temperature-limited forests in cold, humid regions (with SC falling near the transition zone).</w:t>
      </w:r>
      <w:r>
        <w:t xml:space="preserve"> </w:t>
      </w:r>
      <w:r>
        <w:t xml:space="preserve">Within warmer regions, warm winter or early spring temperatures in humid climates may advance the growing season</w:t>
      </w:r>
      <w:r>
        <w:t xml:space="preserve"> </w:t>
      </w:r>
      <w:r>
        <w:t xml:space="preserve">(Keenan et al., 2014)</w:t>
      </w:r>
      <w:r>
        <w:t xml:space="preserve"> </w:t>
      </w:r>
      <w:r>
        <w:t xml:space="preserve">and increase annual growth</w:t>
      </w:r>
      <w:r>
        <w:t xml:space="preserve"> </w:t>
      </w:r>
      <w:r>
        <w:t xml:space="preserve">(Babst et al., 2019; Tumajer et al., 2017)</w:t>
      </w:r>
      <w:r>
        <w:t xml:space="preserve">, as we show for all three species at ZOF and one species at HF (Fig. 4).</w:t>
      </w:r>
      <w:r>
        <w:t xml:space="preserve"> </w:t>
      </w:r>
      <w:r>
        <w:t xml:space="preserve">However, the predominantly negative temperature responses (Fig. 4) imply that warmer temperatures are likely to reduce growth across the wide range of forest types and climates represented here.</w:t>
      </w:r>
      <w:r>
        <w:t xml:space="preserve"> </w:t>
      </w:r>
      <w:r>
        <w:t xml:space="preserve">The primary mechanism underlying growth decreases at high temperatures is presumably increased evaporative demand (PET or vapor pressure deficit, VPD) and ensuant exacerbation of observed water limitations</w:t>
      </w:r>
      <w:r>
        <w:t xml:space="preserve"> </w:t>
      </w:r>
      <w:r>
        <w:t xml:space="preserve">(Humphrey et al., 2021; López et al., 2021; Novick et al., 2016)</w:t>
      </w:r>
      <w:r>
        <w:t xml:space="preserve">.</w:t>
      </w:r>
      <w:r>
        <w:t xml:space="preserve"> </w:t>
      </w:r>
      <w:r>
        <w:t xml:space="preserve">This effect occurs in addition to the effects of precipitation (Fig. 4), highlighting the fact that temperature and associated VPD increases limit growth even under conditions of high soil moisture</w:t>
      </w:r>
      <w:r>
        <w:t xml:space="preserve"> </w:t>
      </w:r>
      <w:r>
        <w:t xml:space="preserve">(Novick et al., 2016)</w:t>
      </w:r>
      <w:r>
        <w:t xml:space="preserve">, and occurs over shorter time-frames (usually</w:t>
      </w:r>
      <w:r>
        <w:t xml:space="preserve"> </w:t>
      </w:r>
      <m:oMath>
        <m:r>
          <m:rPr>
            <m:sty m:val="p"/>
          </m:rPr>
          <m:t>≤</m:t>
        </m:r>
      </m:oMath>
      <w:r>
        <w:t xml:space="preserve"> </w:t>
      </w:r>
      <w:r>
        <w:t xml:space="preserve">3 mo) than the effects of precipitation (usually</w:t>
      </w:r>
      <w:r>
        <w:t xml:space="preserve"> </w:t>
      </w:r>
      <m:oMath>
        <m:r>
          <m:rPr>
            <m:sty m:val="p"/>
          </m:rPr>
          <m:t>≥</m:t>
        </m:r>
      </m:oMath>
      <w:r>
        <w:t xml:space="preserve"> </w:t>
      </w:r>
      <w:r>
        <w:t xml:space="preserve">3 mo.; Table 1, Fig. 4).</w:t>
      </w:r>
      <w:r>
        <w:t xml:space="preserve"> </w:t>
      </w:r>
      <w:r>
        <w:t xml:space="preserve">This suggests that relatively short periods of anomalously high temperatures and evaporative demand, themselves caused in large part by soil dryness</w:t>
      </w:r>
      <w:r>
        <w:t xml:space="preserve"> </w:t>
      </w:r>
      <w:r>
        <w:t xml:space="preserve">(Humphrey et al., 2021)</w:t>
      </w:r>
      <w:r>
        <w:t xml:space="preserve">, add to effects of prolonged periods of reduced precipitation to shape forest drought responses.</w:t>
      </w:r>
    </w:p>
    <w:p>
      <w:pPr>
        <w:pStyle w:val="BodyText"/>
      </w:pPr>
      <w:r>
        <w:t xml:space="preserve">Our analysis differed fundamentally from most conventional approaches in testing for nonlinear responses of growth to climate, finding that the majority of climate responses were nonlinear (Table 1, Fig. 4).</w:t>
      </w:r>
      <w:r>
        <w:t xml:space="preserve"> </w:t>
      </w:r>
      <w:r>
        <w:t xml:space="preserve">This result, which is consistent with physiological expectations</w:t>
      </w:r>
      <w:r>
        <w:t xml:space="preserve"> </w:t>
      </w:r>
      <w:r>
        <w:t xml:space="preserve">(e.g., Kumarathunge et al., 2019; Wilmking et al., 2020)</w:t>
      </w:r>
      <w:r>
        <w:t xml:space="preserve">, indicates that the majority of tree-ring records examined here cover climate variation beyond the range over which the response is approximately linear.</w:t>
      </w:r>
      <w:r>
        <w:t xml:space="preserve"> </w:t>
      </w:r>
      <w:r>
        <w:t xml:space="preserve">The nonlinear form of most climate growth responses implies that as the climate changes such that high temperatures and strong precipitation anomalies become more common</w:t>
      </w:r>
      <w:r>
        <w:t xml:space="preserve"> </w:t>
      </w:r>
      <w:r>
        <w:t xml:space="preserve">(IPCC, 2014)</w:t>
      </w:r>
      <w:r>
        <w:t xml:space="preserve">,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t xml:space="preserve">We found that interactions between climate drivers and DBH were common (44% of total cases analyzed; Table 1, Figs. 5, S15).</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2021; Pretzsch et al., 2018)</w:t>
      </w:r>
      <w:r>
        <w:t xml:space="preserve">.</w:t>
      </w:r>
      <w:r>
        <w:t xml:space="preserve"> </w:t>
      </w:r>
      <w:r>
        <w:t xml:space="preserve">An analytical structure such as ours that can account for this pattern and other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p>
    <w:bookmarkEnd w:id="46"/>
    <w:bookmarkStart w:id="47" w:name="Variation"/>
    <w:p>
      <w:pPr>
        <w:pStyle w:val="Heading2"/>
      </w:pPr>
      <w:r>
        <w:t xml:space="preserve">Variation with DBH</w:t>
      </w:r>
    </w:p>
    <w:p>
      <w:pPr>
        <w:pStyle w:val="FirstParagraph"/>
      </w:pPr>
      <w:r>
        <w:t xml:space="preserve">There was substantial variation across species-site combinations in the population mean relationship between DBH and growth rate (Fig. 6).</w:t>
      </w:r>
      <w:r>
        <w:t xml:space="preserve"> </w:t>
      </w:r>
      <w:r>
        <w:t xml:space="preserve">Variation was most pronounced when RW was considered as the growth metric, as would be expected based on basic geometric principles given that RW patterns are most variable at small DBH.</w:t>
      </w:r>
      <w:r>
        <w:t xml:space="preserve"> </w:t>
      </w:r>
      <w:r>
        <w:t xml:space="preserve">This variation was driven by two primary, interrelated factors: species ecology and stand history.</w:t>
      </w:r>
      <w:r>
        <w:t xml:space="preserve"> </w:t>
      </w:r>
      <w:r>
        <w:t xml:space="preserve">As hypothesized, on average RW declined with DBH for nearly half of light-demanding species, but most commonly RW initially increased across the lower end of the DBH range for shade-tolerant species (Table 1), particularly when the effects of calendar year were accounted for in the model (Fig. 3).</w:t>
      </w:r>
      <w:r>
        <w:t xml:space="preserve"> </w:t>
      </w:r>
      <w:r>
        <w:t xml:space="preserve">However, species shade tolerance alone did not explain variation in RW-DBH relationships; rather, we observed instances where, on average, RW declined with DBH for a shade-tolerant species growing in a relatively open stand (</w:t>
      </w:r>
      <w:r>
        <w:rPr>
          <w:iCs/>
          <w:i/>
        </w:rPr>
        <w:t xml:space="preserve">Picea mariana</w:t>
      </w:r>
      <w:r>
        <w:t xml:space="preserve"> </w:t>
      </w:r>
      <w:r>
        <w:t xml:space="preserve">at SC) or initially increased with DBH for shade-intolerant species growing at sites where competition for light was likely more intense (e.g.,</w:t>
      </w:r>
      <w:r>
        <w:t xml:space="preserve"> </w:t>
      </w:r>
      <w:r>
        <w:rPr>
          <w:iCs/>
          <w:i/>
        </w:rPr>
        <w:t xml:space="preserve">Afzelia xylocarpa</w:t>
      </w:r>
      <w:r>
        <w:t xml:space="preserve"> </w:t>
      </w:r>
      <w:r>
        <w:t xml:space="preserve">(Kurz) Craib at HKK,</w:t>
      </w:r>
      <w:r>
        <w:t xml:space="preserve"> </w:t>
      </w:r>
      <w:r>
        <w:rPr>
          <w:iCs/>
          <w:i/>
        </w:rPr>
        <w:t xml:space="preserve">Liriodendron tulipifera</w:t>
      </w:r>
      <w:r>
        <w:t xml:space="preserve"> </w:t>
      </w:r>
      <w:r>
        <w:t xml:space="preserve">L. at LDW).</w:t>
      </w:r>
      <w:r>
        <w:t xml:space="preserve"> </w:t>
      </w:r>
      <w:r>
        <w:t xml:space="preserve">These results imply that while species that typically grow in high-light conditions commonly display dendrochronology’s</w:t>
      </w:r>
      <w:r>
        <w:t xml:space="preserve"> </w:t>
      </w:r>
      <w:r>
        <w:t xml:space="preserve">“</w:t>
      </w:r>
      <w:r>
        <w:t xml:space="preserve">textbook</w:t>
      </w:r>
      <w:r>
        <w:t xml:space="preserve">”</w:t>
      </w:r>
      <w:r>
        <w:t xml:space="preserve"> </w:t>
      </w:r>
      <w:r>
        <w:t xml:space="preserve">pattern of declining RW with DBH – in part attributable to the geometric constraint that new growth is spread around an ever-growing circumference</w:t>
      </w:r>
      <w:r>
        <w:t xml:space="preserve"> </w:t>
      </w:r>
      <w:r>
        <w:t xml:space="preserve">(Biondi &amp; Qeadan, 2008; Fritts, 1976)</w:t>
      </w:r>
      <w:r>
        <w:t xml:space="preserve"> </w:t>
      </w:r>
      <w:r>
        <w:t xml:space="preserve">– the majority of trees within forest settings exhibit hump-shaped patterns of RW in relation to DBH.</w:t>
      </w:r>
      <w:r>
        <w:t xml:space="preserve"> </w:t>
      </w:r>
      <w:r>
        <w:t xml:space="preserve">This latter pattern is consistent with the observation that when contemporary growth rates are compared across individuals within a closed-canopy stand (e.g., a</w:t>
      </w:r>
      <w:r>
        <w:t xml:space="preserve"> </w:t>
      </w:r>
      <w:r>
        <w:t xml:space="preserve">“</w:t>
      </w:r>
      <w:r>
        <w:t xml:space="preserve">cross-sectional</w:t>
      </w:r>
      <w:r>
        <w:t xml:space="preserve">”</w:t>
      </w:r>
      <w:r>
        <w:t xml:space="preserve"> </w:t>
      </w:r>
      <w:r>
        <w:t xml:space="preserve">analysis of census data), average RW increases continuously across most of the DBH range</w:t>
      </w:r>
      <w:r>
        <w:t xml:space="preserve"> </w:t>
      </w:r>
      <w:r>
        <w:t xml:space="preserve">(e.g., Anderson-Teixeira, McGarvey, et al., 2015; Muller-Landau et al., 2006)</w:t>
      </w:r>
      <w:r>
        <w:t xml:space="preserve">, or increases and subsequently decreases</w:t>
      </w:r>
      <w:r>
        <w:t xml:space="preserve"> </w:t>
      </w:r>
      <w:r>
        <w:t xml:space="preserve">(Schelhaas et al., 2018)</w:t>
      </w:r>
      <w:r>
        <w:t xml:space="preserve">.</w:t>
      </w:r>
      <w:r>
        <w:t xml:space="preserve"> </w:t>
      </w:r>
      <w:r>
        <w:t xml:space="preserve">Our finding that on average across populations, BAI and</w:t>
      </w:r>
      <w:r>
        <w:t xml:space="preserve"> </w:t>
      </w:r>
      <m:oMath>
        <m:r>
          <m:t>Δ</m:t>
        </m:r>
      </m:oMath>
      <w:r>
        <w:t xml:space="preserve">AGB generally saturate or decline with increasing DBH (Table 1, Fig. 6) contrasts with findings of cross-sectional analyses of forest census data showing that mean</w:t>
      </w:r>
      <w:r>
        <w:t xml:space="preserve"> </w:t>
      </w:r>
      <m:oMath>
        <m:r>
          <m:t>Δ</m:t>
        </m:r>
      </m:oMath>
      <w:r>
        <w:t xml:space="preserve">AGB increases continuously with DBH</w:t>
      </w:r>
      <w:r>
        <w:t xml:space="preserve"> </w:t>
      </w:r>
      <w:r>
        <w:t xml:space="preserve">(Meakem et al., 2018; Stephenson et al., 2014)</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 consistent with the principle that individual-scale growth patterns and environmental responses do not necessarily match population- or stand-level average responses</w:t>
      </w:r>
      <w:r>
        <w:t xml:space="preserve"> </w:t>
      </w:r>
      <w:r>
        <w:t xml:space="preserve">(Clark et al., 2011, 2003)</w:t>
      </w:r>
      <w:r>
        <w:t xml:space="preserve">.</w:t>
      </w:r>
      <w:r>
        <w:t xml:space="preserve"> </w:t>
      </w:r>
      <w:r>
        <w:t xml:space="preserve">Declines in BAI and</w:t>
      </w:r>
      <w:r>
        <w:t xml:space="preserve"> </w:t>
      </w:r>
      <m:oMath>
        <m:r>
          <m:t>Δ</m:t>
        </m:r>
      </m:oMath>
      <w:r>
        <w:t xml:space="preserve">AGB at larger DBH may be in part attributable to increasing carbon allocation to functions other than woody growth, such as reproduction</w:t>
      </w:r>
      <w:r>
        <w:t xml:space="preserve"> </w:t>
      </w:r>
      <w:r>
        <w:t xml:space="preserve">(Thomas, 2011)</w:t>
      </w:r>
      <w:r>
        <w:t xml:space="preserve">, and possibly to physiological declines as trees age</w:t>
      </w:r>
      <w:r>
        <w:t xml:space="preserve"> </w:t>
      </w:r>
      <w:r>
        <w:t xml:space="preserve">(Forrester, 2021; Qiu et al., 2021)</w:t>
      </w:r>
      <w:r>
        <w:t xml:space="preserve">.</w:t>
      </w:r>
      <w:r>
        <w:t xml:space="preserve"> </w:t>
      </w:r>
      <w:r>
        <w:t xml:space="preserve">Apparent declines in</w:t>
      </w:r>
      <w:r>
        <w:t xml:space="preserve"> </w:t>
      </w:r>
      <m:oMath>
        <m:r>
          <m:t>Δ</m:t>
        </m:r>
      </m:oMath>
      <w:r>
        <w:t xml:space="preserve">AGB at large DBH (or old age) may also be driven by shifts towards proportionally greater wood production within the crown</w:t>
      </w:r>
      <w:r>
        <w:t xml:space="preserve"> </w:t>
      </w:r>
      <w:r>
        <w:t xml:space="preserve">(e.g., branch production, Sillett et al., 2021; Sillett et al., 2010)</w:t>
      </w:r>
      <w:r>
        <w:t xml:space="preserve"> </w:t>
      </w:r>
      <w:r>
        <w:t xml:space="preserve">that are not adequately captured by biomass allometries based on DBH and sometimes height</w:t>
      </w:r>
      <w:r>
        <w:t xml:space="preserve"> </w:t>
      </w:r>
      <w:r>
        <w:t xml:space="preserve">(Disney et al., 2020; Goodman et al., 2014)</w:t>
      </w:r>
      <w:r>
        <w:t xml:space="preserve">.</w:t>
      </w:r>
      <w:r>
        <w:t xml:space="preserve"> </w:t>
      </w:r>
      <w:r>
        <w:t xml:space="preserve">Growth declines may also be linked to slowly changing environmental conditions (e.g., successional changes in stand structure, climate change).</w:t>
      </w:r>
      <w:r>
        <w:t xml:space="preserve"> </w:t>
      </w:r>
      <w:r>
        <w:t xml:space="preserve">Notably, inclusion of year in the GLS models reduced the frequency of RW declines with DBH (Fig. 3) and tended to reduce the magnitude of BAI and</w:t>
      </w:r>
      <w:r>
        <w:t xml:space="preserve"> </w:t>
      </w:r>
      <m:oMath>
        <m:r>
          <m:t>Δ</m:t>
        </m:r>
      </m:oMath>
      <w:r>
        <w:t xml:space="preserve">AGB declines at larger DBH (Figs. S11, S12), suggesting that some of the growth declines at large DBH (Fig. 6) are more properly attributed to recent environmental changes than to large DBH.</w:t>
      </w:r>
    </w:p>
    <w:bookmarkEnd w:id="47"/>
    <w:bookmarkStart w:id="48" w:name="Changing"/>
    <w:p>
      <w:pPr>
        <w:pStyle w:val="Heading2"/>
      </w:pPr>
      <w:r>
        <w:t xml:space="preserve">Changing growth rates</w:t>
      </w:r>
    </w:p>
    <w:p>
      <w:pPr>
        <w:pStyle w:val="FirstParagraph"/>
      </w:pPr>
      <w:r>
        <w:t xml:space="preserve">Our analytical framework reconstructs growth changes in a sampled tree population over time while accounting for climate, DBH, and persistent growth differences among individuals (Fig. 1), thereby addressing some important challenges to obtaining unbiased estimates of growth trends attributable to non-climatic environmental drivers.</w:t>
      </w:r>
      <w:r>
        <w:t xml:space="preserve"> </w:t>
      </w:r>
      <w:r>
        <w:t xml:space="preserve">First, we account for changes in climate that may drive directional growth trends.</w:t>
      </w:r>
      <w:r>
        <w:t xml:space="preserve"> </w:t>
      </w:r>
      <w:r>
        <w:t xml:space="preserve">For example, dramatic growth declines at LT, driven by a strong regional warming and drying trend</w:t>
      </w:r>
      <w:r>
        <w:t xml:space="preserve"> </w:t>
      </w:r>
      <w:r>
        <w:t xml:space="preserve">(Touchan et al., 2011; Williams et al., 2013)</w:t>
      </w:r>
      <w:r>
        <w:t xml:space="preserve">, are in part factored out by accounting for the primary climate drivers, such that a significant decline over time was detected for only one of the two species (Fig. 7).</w:t>
      </w:r>
      <w:r>
        <w:t xml:space="preserve"> </w:t>
      </w:r>
      <w:r>
        <w:t xml:space="preserve">Second, we show that growth rate – by any metric – varies nonlinearly with DBH and with patterns dependent upon the species and environmental context (Fig. 6), reinforcing the concept that growth trend analyses should incorporate cross-sectional analyses to correct for growth ontogeny</w:t>
      </w:r>
      <w:r>
        <w:t xml:space="preserve"> </w:t>
      </w:r>
      <w:r>
        <w:t xml:space="preserve">(e.g., through regional curve standardization, Peters et al., 2015)</w:t>
      </w:r>
      <w:r>
        <w:t xml:space="preserve">.</w:t>
      </w:r>
      <w:r>
        <w:t xml:space="preserve"> </w:t>
      </w:r>
      <w:r>
        <w:t xml:space="preserve">Our method does this, differing from the conceptually parallel method of regional curve standardization in that we standardize relative to DBH rather than age, correct for any trends in the most influential climate drivers, and include random effects of tree to account for persistent growth differences among individuals.</w:t>
      </w:r>
      <w:r>
        <w:t xml:space="preserve"> </w:t>
      </w:r>
      <w:r>
        <w:t xml:space="preserve">The latter addresses a third important challenge, as those growth differences among individuals can bias estimated growth trends in positive or negative directions</w:t>
      </w:r>
      <w:r>
        <w:t xml:space="preserve"> </w:t>
      </w:r>
      <w:r>
        <w:t xml:space="preserve">(Brienen et al., 2017, 2012; Groenendijk et al., 2015; Nehrbass-Ahles et al., 2014; van der Sleen et al., 2017)</w:t>
      </w:r>
      <w:r>
        <w:t xml:space="preserve">.</w:t>
      </w:r>
      <w:r>
        <w:t xml:space="preserve"> </w:t>
      </w:r>
      <w:r>
        <w:t xml:space="preserve">For instance, older trees, which provide the only records available for the earliest decades, may be competitive winners that had above-average growth rates within their cohorts</w:t>
      </w:r>
      <w:r>
        <w:t xml:space="preserve"> </w:t>
      </w:r>
      <w:r>
        <w:t xml:space="preserve">(Aubry-Kientz et al., 2015)</w:t>
      </w:r>
      <w:r>
        <w:t xml:space="preserve">, which would upwardly bias average growth rate estimates for early decades</w:t>
      </w:r>
      <w:r>
        <w:t xml:space="preserve"> </w:t>
      </w:r>
      <w:r>
        <w:t xml:space="preserve">(</w:t>
      </w:r>
      <w:r>
        <w:t xml:space="preserve">“juvenile selection effect,”</w:t>
      </w:r>
      <w:r>
        <w:t xml:space="preserve"> </w:t>
      </w:r>
      <w:r>
        <w:t xml:space="preserve">Groenendijk et al., 2015)</w:t>
      </w:r>
      <w:r>
        <w:t xml:space="preserve">.</w:t>
      </w:r>
      <w:r>
        <w:t xml:space="preserve"> </w:t>
      </w:r>
      <w:r>
        <w:t xml:space="preserve">In contrast, the oldest age classes being dominated by trees with below-average growth rates</w:t>
      </w:r>
      <w:r>
        <w:t xml:space="preserve"> </w:t>
      </w:r>
      <w:r>
        <w:t xml:space="preserve">(e.g., Piovesan et al., 2019)</w:t>
      </w:r>
      <w:r>
        <w:t xml:space="preserve"> </w:t>
      </w:r>
      <w:r>
        <w:t xml:space="preserve">could downwardly bias average growth rate estimates for early decades</w:t>
      </w:r>
      <w:r>
        <w:t xml:space="preserve"> </w:t>
      </w:r>
      <w:r>
        <w:t xml:space="preserve">(</w:t>
      </w:r>
      <w:r>
        <w:t xml:space="preserve">“a slow-grower survivorship bias,”</w:t>
      </w:r>
      <w:r>
        <w:t xml:space="preserve"> </w:t>
      </w:r>
      <w:r>
        <w:t xml:space="preserve">Brienen et al., 2012; Duchesne et al., 2019)</w:t>
      </w:r>
      <w:r>
        <w:t xml:space="preserve">.</w:t>
      </w:r>
      <w:r>
        <w:t xml:space="preserve"> </w:t>
      </w:r>
      <w:r>
        <w:t xml:space="preserve">By including a random effect of tree, our approach likely reduces the most severe potential biases associated with persistent growth differences across individuals</w:t>
      </w:r>
      <w:r>
        <w:t xml:space="preserve"> </w:t>
      </w:r>
      <w:r>
        <w:t xml:space="preserve">(Bowman et al., 2013; Brienen et al., 2017, 2012)</w:t>
      </w:r>
      <w:r>
        <w:t xml:space="preserve">, yet observed trends nevertheless represent only the sampled population of trees, as opposed to tree populations at all points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In all seven sites dominated by trees less than 100 years old, population-mean growth trends were universally negative, when significant (Table 1, Figs. 3, 7).</w:t>
      </w:r>
      <w:r>
        <w:t xml:space="preserve"> </w:t>
      </w:r>
      <w:r>
        <w:t xml:space="preserve">While attribution of these trends is difficult, it is likely that some trends are caused by stand dynamics as cohorts and stands develop over time.</w:t>
      </w:r>
      <w:r>
        <w:t xml:space="preserve"> </w:t>
      </w:r>
      <w:r>
        <w:t xml:space="preserve">Such negative trends are fairly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persistent differences in growth rates among individuals could produce a trend of declining growth, as faster-growing individuals reach various size thresholds earlier</w:t>
      </w:r>
      <w:r>
        <w:t xml:space="preserve"> </w:t>
      </w:r>
      <w:r>
        <w:t xml:space="preserve">(Brienen et al., 2017; see also van der Sleen et al., 2017)</w:t>
      </w:r>
      <w:r>
        <w:t xml:space="preserve">.</w:t>
      </w:r>
      <w:r>
        <w:t xml:space="preserve"> </w:t>
      </w:r>
      <w:r>
        <w:t xml:space="preserve">Particularly in secondary stands where many of the sampled species recruited in pulses that were followed by low recruitment (e.g., SCBI, HF; Appendix S1),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 West, 2020)</w:t>
      </w:r>
      <w:r>
        <w:t xml:space="preserve">.</w:t>
      </w:r>
      <w:r>
        <w:t xml:space="preserve"> </w:t>
      </w:r>
      <w:r>
        <w:t xml:space="preserve">Gradual shifts in abiotic drivers (e.g., indirect effects of warming) likely also play a role at some of these sites.</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At this site, we attribute pronounced negative growth trends to a combination of successional declines and indirect climatic stress.</w:t>
      </w:r>
    </w:p>
    <w:p>
      <w:pPr>
        <w:pStyle w:val="BodyText"/>
      </w:pPr>
      <w:r>
        <w:t xml:space="preserve">Within the three older forests (ZOF, LT, CB), population-mean growth trends were mixed (Table 1, Figs. 3, 7), probably reflecting some combination of successional changes, changing mortality rates,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r>
        <w:t xml:space="preserve"> </w:t>
      </w:r>
      <w:r>
        <w:t xml:space="preserve">In particular, light-demanding species that establish in gaps (e.g.,</w:t>
      </w:r>
      <w:r>
        <w:t xml:space="preserve"> </w:t>
      </w:r>
      <w:r>
        <w:rPr>
          <w:iCs/>
          <w:i/>
        </w:rPr>
        <w:t xml:space="preserve">Populus tremuloides</w:t>
      </w:r>
      <w:r>
        <w:t xml:space="preserve"> </w:t>
      </w:r>
      <w:r>
        <w:t xml:space="preserve">Michx. at CB; Table S2) would tend to experience an increasingly competitive environment through time.</w:t>
      </w:r>
      <w:r>
        <w:t xml:space="preserve"> </w:t>
      </w:r>
      <w:r>
        <w:t xml:space="preserve">At Zofin, size-corrected growth rates were lowest in the 1970s and 1980s, consistent with other studies from central Europe showing dramatic growth reductions due to acid deposition during this period</w:t>
      </w:r>
      <w:r>
        <w:t xml:space="preserve"> </w:t>
      </w:r>
      <w:r>
        <w:t xml:space="preserve">(Elling et al., 2009; Šamonil &amp; Vrška, 2008)</w:t>
      </w:r>
      <w:r>
        <w:t xml:space="preserve">.</w:t>
      </w:r>
      <w:r>
        <w:t xml:space="preserve"> </w:t>
      </w:r>
      <w:r>
        <w:t xml:space="preserve">Nonlinear trends such as this would be more accurately described by a nonlinear response function to year, or incorporation of data on pollution, but that is beyond the scope of the current analysis.</w:t>
      </w:r>
      <w:r>
        <w:t xml:space="preserve"> </w:t>
      </w:r>
      <w:r>
        <w:t xml:space="preserve">Notably, there were only three species –</w:t>
      </w:r>
      <w:r>
        <w:t xml:space="preserve"> </w:t>
      </w:r>
      <w:r>
        <w:rPr>
          <w:iCs/>
          <w:i/>
        </w:rPr>
        <w:t xml:space="preserve">Fagus sylvatica</w:t>
      </w:r>
      <w:r>
        <w:t xml:space="preserve"> </w:t>
      </w:r>
      <w:r>
        <w:t xml:space="preserve">at ZOF and</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 whose population-mean growth rate increased significantly over the analysis time frame (Fig. 7).</w:t>
      </w:r>
    </w:p>
    <w:p>
      <w:pPr>
        <w:pStyle w:val="BodyText"/>
      </w:pPr>
      <w:r>
        <w:t xml:space="preserve">The rarity of positive growth trends observed here indicates that any growth benefit from elevated CO</w:t>
      </w:r>
      <w:r>
        <w:rPr>
          <w:vertAlign w:val="subscript"/>
        </w:rPr>
        <w:t xml:space="preserve">2</w:t>
      </w:r>
      <w:r>
        <w:t xml:space="preserve"> </w:t>
      </w:r>
      <w:r>
        <w:t xml:space="preserve">was outweighed by some combination of demographic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2021)</w:t>
      </w:r>
      <w:r>
        <w:t xml:space="preserve">, including previous analyses from HKK</w:t>
      </w:r>
      <w:r>
        <w:t xml:space="preserve"> </w:t>
      </w:r>
      <w:r>
        <w:t xml:space="preserve">(Groenendijk et al., 2015; Nock et al., 2011; van der Sleen et al., 2015, 2017)</w:t>
      </w:r>
      <w:r>
        <w:t xml:space="preserve">, although some studies have detected growth increases</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 expected, based on physiological mechanisms, under water-limited conditions and has been observed in young forests in experimental settings</w:t>
      </w:r>
      <w:r>
        <w:t xml:space="preserve"> </w:t>
      </w:r>
      <w:r>
        <w:t xml:space="preserve">(Walker et al., 2021)</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2021)</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As global change pressures intensify and the need to understand changing forest dynamics becomes increasingly urgent</w:t>
      </w:r>
      <w:r>
        <w:t xml:space="preserve"> </w:t>
      </w:r>
      <w:r>
        <w:t xml:space="preserve">(McDowell et al., 2020; Thom et al., 2017)</w:t>
      </w:r>
      <w:r>
        <w:t xml:space="preserve">, we expect that the approach presented here will prove valuable to understanding drivers of tree growth and forest change.</w:t>
      </w:r>
      <w:r>
        <w:t xml:space="preserve"> </w:t>
      </w:r>
      <w:r>
        <w:t xml:space="preserve">Multiple elements of global change – including changing atmospheric composition, warming, drought, changing disturbance regimes, and thawing permafrost – are simultaneously influencing forests worldwide</w:t>
      </w:r>
      <w:r>
        <w:t xml:space="preserve"> </w:t>
      </w:r>
      <w:r>
        <w:t xml:space="preserve">(e.g., Anderson-Teixeira, Davies, et al., 2015)</w:t>
      </w:r>
      <w:r>
        <w:t xml:space="preserve"> </w:t>
      </w:r>
      <w:r>
        <w:t xml:space="preserve">and are expected to interact with each other, differentially affecting trees of different size and species (Table 1, Figs. 3, 4, 5).</w:t>
      </w:r>
      <w:r>
        <w:t xml:space="preserve"> </w:t>
      </w:r>
      <w:r>
        <w:t xml:space="preserve">Simultaneous evaluation of multiple drivers can improve analysis, understanding, and predictions of global change effects on tree growth and forest productivity.</w:t>
      </w:r>
      <w:r>
        <w:t xml:space="preserve"> </w:t>
      </w:r>
      <w:r>
        <w:t xml:space="preserve">The method we present and apply here allows doing so.</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CP, and external collaborators.</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1"/>
    <w:bookmarkStart w:id="52" w:name="Authors"/>
    <w:p>
      <w:pPr>
        <w:pStyle w:val="Heading1"/>
      </w:pPr>
      <w:r>
        <w:t xml:space="preserve">Authors’ contributions</w:t>
      </w:r>
    </w:p>
    <w:p>
      <w:pPr>
        <w:pStyle w:val="FirstParagraph"/>
      </w:pPr>
      <w:r>
        <w:t xml:space="preserve">KAT, VH, CR, MRA, CP conceived the ideas and designed methodology;</w:t>
      </w:r>
      <w:r>
        <w:t xml:space="preserve"> </w:t>
      </w:r>
      <w:r>
        <w:t xml:space="preserve">NP, CDA, RAS, TA, JLB, JDB, SB, PC, RH, JK, JL, EQM, JTM,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4" w:name="Data"/>
    <w:p>
      <w:pPr>
        <w:pStyle w:val="Heading1"/>
      </w:pPr>
      <w:r>
        <w:t xml:space="preserve">Data availability</w:t>
      </w:r>
    </w:p>
    <w:p>
      <w:pPr>
        <w:pStyle w:val="FirstParagraph"/>
      </w:pPr>
      <w:r>
        <w:t xml:space="preserve">Code and full results are available via the open-access project repository in GitHub (</w:t>
      </w:r>
      <w:hyperlink r:id="rId53">
        <w:r>
          <w:rPr>
            <w:rStyle w:val="Hyperlink"/>
          </w:rPr>
          <w:t xml:space="preserve">https://github.com/EcoClimLab/ForestGEO-tree-rings</w:t>
        </w:r>
      </w:hyperlink>
      <w:r>
        <w:t xml:space="preserve">) and archived in Zenodo (DOI: 10.5281/zenodo.5484261).</w:t>
      </w:r>
      <w:r>
        <w:t xml:space="preserve"> </w:t>
      </w:r>
      <w:r>
        <w:t xml:space="preserve">Original data from each site are available through various public databases, as indicated in the original publications, or upon reasonable request from the authors.</w:t>
      </w:r>
      <w:r>
        <w:t xml:space="preserve"> </w:t>
      </w:r>
      <w:r>
        <w:t xml:space="preserve">Data for seven of the sites (BCNM, SCBI, LDW, HF, NIO, LT, SC) have been submitted to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S1. Descriptions of sites included in this analysis</w:t>
      </w:r>
    </w:p>
    <w:p>
      <w:pPr>
        <w:pStyle w:val="BodyText"/>
      </w:pPr>
      <w:r>
        <w:t xml:space="preserve">Appendix S2. Methods for reconstruction of diameter breast height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Additional information on sites included in this analysis.</w:t>
      </w:r>
    </w:p>
    <w:p>
      <w:pPr>
        <w:pStyle w:val="BodyText"/>
      </w:pPr>
      <w:r>
        <w:t xml:space="preserve">Table S2. Tree species analyzed, their characteristics, and bark allometries applied.</w:t>
      </w:r>
    </w:p>
    <w:p>
      <w:pPr>
        <w:pStyle w:val="BodyText"/>
      </w:pPr>
      <w:r>
        <w:t xml:space="preserve">Table S3. Sampling details for tree species by site.</w:t>
      </w:r>
    </w:p>
    <w:p>
      <w:pPr>
        <w:pStyle w:val="BodyText"/>
      </w:pPr>
      <w:r>
        <w:t xml:space="preserve">Table S4. Allometric equations for tree bark thickness.</w:t>
      </w:r>
    </w:p>
    <w:p>
      <w:pPr>
        <w:pStyle w:val="BodyText"/>
      </w:pPr>
      <w:r>
        <w:t xml:space="preserve">Table S5. Qualitative comparison of results from this study with previous studies employing conventional methods.</w:t>
      </w:r>
    </w:p>
    <w:p>
      <w:pPr>
        <w:pStyle w:val="BodyText"/>
      </w:pPr>
      <w:r>
        <w:t xml:space="preserve">Figures S1-S4. Comparison of our approach with traditional methods of identifying climate signals for four species.</w:t>
      </w:r>
    </w:p>
    <w:p>
      <w:pPr>
        <w:pStyle w:val="BodyText"/>
      </w:pPr>
      <w:r>
        <w:t xml:space="preserve">Figure S5. Example comparison of year effect in GLS model with independent decadal analysis for Harvard Forest, MA, USA.</w:t>
      </w:r>
    </w:p>
    <w:p>
      <w:pPr>
        <w:pStyle w:val="BodyText"/>
      </w:pPr>
      <w:r>
        <w:t xml:space="preserve">Figure S6. Climwin output describing the strongest predictor of interannual variation in tree growth within the temperature variable group at Huai Kha Khaeng, Thailand.</w:t>
      </w:r>
    </w:p>
    <w:p>
      <w:pPr>
        <w:pStyle w:val="BodyText"/>
      </w:pPr>
      <w:r>
        <w:t xml:space="preserve">Figure S7. Climwin output describing the strongest predictor of interannual variation in tree growth within the water variable group at the Smithsonian Conservation Biology Institute (SCBI), VA, USA.</w:t>
      </w:r>
    </w:p>
    <w:p>
      <w:pPr>
        <w:pStyle w:val="BodyText"/>
      </w:pPr>
      <w:r>
        <w:t xml:space="preserve">Figure S8. Climwin output describing the strongest predictor of interannual variation in tree growth within the temperature variable group at the Smithsonian Conservation Biology Institute (SCBI), VA, USA.</w:t>
      </w:r>
    </w:p>
    <w:p>
      <w:pPr>
        <w:pStyle w:val="BodyText"/>
      </w:pPr>
      <w:r>
        <w:t xml:space="preserve">Figure S9. Climwin output describing the strongest predictor of interannual variation in tree growth within the water variable group at Harvard Forest, MA, USA.</w:t>
      </w:r>
    </w:p>
    <w:p>
      <w:pPr>
        <w:pStyle w:val="BodyText"/>
      </w:pPr>
      <w:r>
        <w:t xml:space="preserve">Figure S10. Best generalized least squares (GLS) models describing annual tree growth based on climate and diameter breast height (DBH) for Barro Colorado National Monument (BCNM), Panama.</w:t>
      </w:r>
    </w:p>
    <w:p>
      <w:pPr>
        <w:pStyle w:val="BodyText"/>
      </w:pPr>
      <w:r>
        <w:t xml:space="preserve">Figure S11. Best generalized least squares (GLS) models describing annual tree growth based on climate and diameter breast height (DBH) for Smithsonian Conservation Biology Institute (SCBI), VA, USA.</w:t>
      </w:r>
    </w:p>
    <w:p>
      <w:pPr>
        <w:pStyle w:val="BodyText"/>
      </w:pPr>
      <w:r>
        <w:t xml:space="preserve">Figure S12. Best generalized least squares (GLS) models describing annual tree growth based onclimate, diameter breast height (DBH), and year for Smithsonian Conservation Biology Institute (SCBI), VA, USA.</w:t>
      </w:r>
    </w:p>
    <w:p>
      <w:pPr>
        <w:pStyle w:val="BodyText"/>
      </w:pPr>
      <w:r>
        <w:t xml:space="preserve">Figure S13. Best generalized least squares (GLS) models describing annual tree growth based on climate, diameter breast height (DBH), and year for Little Tesuque, NM, USA.</w:t>
      </w:r>
    </w:p>
    <w:p>
      <w:pPr>
        <w:pStyle w:val="BodyText"/>
      </w:pPr>
      <w:r>
        <w:t xml:space="preserve">Figure S14. Interannual climate sensitivity of annual tree growth at Scotty Creek, NT, Canada before and after 1970.</w:t>
      </w:r>
    </w:p>
    <w:p>
      <w:pPr>
        <w:pStyle w:val="BodyText"/>
      </w:pPr>
      <w:r>
        <w:t xml:space="preserve">Figure S15. Significant climate - diameter breast height (DBH) interactions in generalized least squares (GLS) models describing interannual variation in ring width (RW) for tree species at 10 sites.</w:t>
      </w:r>
    </w:p>
    <w:p>
      <w:pPr>
        <w:pStyle w:val="BodyText"/>
      </w:pPr>
      <w:r>
        <w:t xml:space="preserve">Figure S16. Responses of annual growth, expressed as ring width (RW), (b) basal area increment (BAI), or (c) aboveground biomass (AGB) increase, to calendar year for 35 tree species at 10 sites.</w:t>
      </w:r>
    </w:p>
    <w:bookmarkEnd w:id="55"/>
    <w:bookmarkStart w:id="306" w:name="References"/>
    <w:p>
      <w:pPr>
        <w:pStyle w:val="Heading1"/>
      </w:pPr>
      <w:r>
        <w:t xml:space="preserve">References</w:t>
      </w:r>
    </w:p>
    <w:bookmarkStart w:id="305"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6">
        <w:r>
          <w:rPr>
            <w:rStyle w:val="Hyperlink"/>
          </w:rPr>
          <w:t xml:space="preserve">https://doi.org/10.1017/qua.2019.33</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Cs/>
          <w:i/>
        </w:rPr>
        <w:t xml:space="preserve">Dendroecology: Tree-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0">
        <w:r>
          <w:rPr>
            <w:rStyle w:val="Hyperlink"/>
          </w:rPr>
          <w:t xml:space="preserve">https://doi.org/10.1007/978-3-319-61669-8</w:t>
        </w:r>
      </w:hyperlink>
    </w:p>
    <w:bookmarkEnd w:id="61"/>
    <w:bookmarkStart w:id="63"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2">
        <w:r>
          <w:rPr>
            <w:rStyle w:val="Hyperlink"/>
          </w:rPr>
          <w:t xml:space="preserve">https://doi.org/10.1111/gcb.12712</w:t>
        </w:r>
      </w:hyperlink>
    </w:p>
    <w:bookmarkEnd w:id="63"/>
    <w:bookmarkStart w:id="65"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64">
        <w:r>
          <w:rPr>
            <w:rStyle w:val="Hyperlink"/>
          </w:rPr>
          <w:t xml:space="preserve">https://doi.org/10.1111/1365-2435.12470</w:t>
        </w:r>
      </w:hyperlink>
    </w:p>
    <w:bookmarkEnd w:id="65"/>
    <w:bookmarkStart w:id="67"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 </w:t>
      </w:r>
      <w:r>
        <w:t xml:space="preserve">concentration and carbon</w:t>
      </w:r>
      <w:r>
        <w:t xml:space="preserve"> </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66">
        <w:r>
          <w:rPr>
            <w:rStyle w:val="Hyperlink"/>
          </w:rPr>
          <w:t xml:space="preserve">https://doi.org/10.5194/bg-17-4173-2020</w:t>
        </w:r>
      </w:hyperlink>
    </w:p>
    <w:bookmarkEnd w:id="67"/>
    <w:bookmarkStart w:id="69" w:name="ref-aubry-kientz_joint_2015"/>
    <w:p>
      <w:pPr>
        <w:pStyle w:val="Bibliography"/>
      </w:pPr>
      <w:r>
        <w:t xml:space="preserve">Aubry-Kientz, M., Rossi, V., Boreux, J.-J., &amp; Hérault, B. (2015). A joint individual-based model coupling growth and mortality reveals that tree vigor is a key component of tropical forest dynamics.</w:t>
      </w:r>
      <w:r>
        <w:t xml:space="preserve"> </w:t>
      </w:r>
      <w:r>
        <w:rPr>
          <w:iCs/>
          <w:i/>
        </w:rPr>
        <w:t xml:space="preserve">Ecology and Evolution</w:t>
      </w:r>
      <w:r>
        <w:t xml:space="preserve">,</w:t>
      </w:r>
      <w:r>
        <w:t xml:space="preserve"> </w:t>
      </w:r>
      <w:r>
        <w:rPr>
          <w:iCs/>
          <w:i/>
        </w:rPr>
        <w:t xml:space="preserve">5</w:t>
      </w:r>
      <w:r>
        <w:t xml:space="preserve">(12), 2457–2465.</w:t>
      </w:r>
      <w:r>
        <w:t xml:space="preserve"> </w:t>
      </w:r>
      <w:hyperlink r:id="rId68">
        <w:r>
          <w:rPr>
            <w:rStyle w:val="Hyperlink"/>
          </w:rPr>
          <w:t xml:space="preserve">https://doi.org/10.1002/ece3.1532</w:t>
        </w:r>
      </w:hyperlink>
    </w:p>
    <w:bookmarkEnd w:id="69"/>
    <w:bookmarkStart w:id="71"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2">
        <w:r>
          <w:rPr>
            <w:rStyle w:val="Hyperlink"/>
          </w:rPr>
          <w:t xml:space="preserve">https://doi.org/10.1126/sciadv.aat4313</w:t>
        </w:r>
      </w:hyperlink>
    </w:p>
    <w:bookmarkEnd w:id="73"/>
    <w:bookmarkStart w:id="75"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74">
        <w:r>
          <w:rPr>
            <w:rStyle w:val="Hyperlink"/>
          </w:rPr>
          <w:t xml:space="preserve">https://doi.org/10.1111/gcb.12349</w:t>
        </w:r>
      </w:hyperlink>
    </w:p>
    <w:bookmarkEnd w:id="75"/>
    <w:bookmarkStart w:id="77"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76">
        <w:r>
          <w:rPr>
            <w:rStyle w:val="Hyperlink"/>
          </w:rPr>
          <w:t xml:space="preserve">https://doi.org/10.1111/gcb.15491</w:t>
        </w:r>
      </w:hyperlink>
    </w:p>
    <w:bookmarkEnd w:id="77"/>
    <w:bookmarkStart w:id="79"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78">
        <w:r>
          <w:rPr>
            <w:rStyle w:val="Hyperlink"/>
          </w:rPr>
          <w:t xml:space="preserve">https://doi.org/10.1038/nplants.2015.139</w:t>
        </w:r>
      </w:hyperlink>
    </w:p>
    <w:bookmarkEnd w:id="79"/>
    <w:bookmarkStart w:id="81"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 Defining 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0">
        <w:r>
          <w:rPr>
            <w:rStyle w:val="Hyperlink"/>
          </w:rPr>
          <w:t xml:space="preserve">https://doi.org/10.3959/2008-6.1</w:t>
        </w:r>
      </w:hyperlink>
    </w:p>
    <w:bookmarkEnd w:id="81"/>
    <w:bookmarkStart w:id="83" w:name="ref-birch_birch_2020a"/>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2">
        <w:r>
          <w:rPr>
            <w:rStyle w:val="Hyperlink"/>
          </w:rPr>
          <w:t xml:space="preserve">https://www.ncdc.noaa.gov/paleo-search/study/31994</w:t>
        </w:r>
      </w:hyperlink>
    </w:p>
    <w:bookmarkEnd w:id="83"/>
    <w:bookmarkStart w:id="85" w:name="ref-birch_birch_2020b"/>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urg_initial_2013"/>
    <w:p>
      <w:pPr>
        <w:pStyle w:val="Bibliography"/>
      </w:pPr>
      <w:r>
        <w:t xml:space="preserve">Bourg, N. A., McShea, W. J., Thompson, J. R., McGarvey, J. C., &amp; Shen, X. (2013).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w:t>
      </w:r>
      <w:r>
        <w:t xml:space="preserve"> </w:t>
      </w:r>
      <w:r>
        <w:rPr>
          <w:iCs/>
          <w:i/>
        </w:rPr>
        <w:t xml:space="preserve">Archives</w:t>
      </w:r>
      <w:r>
        <w:t xml:space="preserve"> </w:t>
      </w:r>
      <w:r>
        <w:t xml:space="preserve">E094</w:t>
      </w:r>
      <w:r>
        <w:t xml:space="preserve">-195.</w:t>
      </w:r>
      <w:r>
        <w:t xml:space="preserve"> </w:t>
      </w:r>
      <w:r>
        <w:rPr>
          <w:iCs/>
          <w:i/>
        </w:rPr>
        <w:t xml:space="preserve">Ecology</w:t>
      </w:r>
      <w:r>
        <w:t xml:space="preserve">,</w:t>
      </w:r>
      <w:r>
        <w:t xml:space="preserve"> </w:t>
      </w:r>
      <w:r>
        <w:rPr>
          <w:iCs/>
          <w:i/>
        </w:rPr>
        <w:t xml:space="preserve">94</w:t>
      </w:r>
      <w:r>
        <w:t xml:space="preserve">(9), 2111–2112.</w:t>
      </w:r>
      <w:r>
        <w:t xml:space="preserve"> </w:t>
      </w:r>
      <w:hyperlink r:id="rId90">
        <w:r>
          <w:rPr>
            <w:rStyle w:val="Hyperlink"/>
          </w:rPr>
          <w:t xml:space="preserve">https://doi.org/10.1890/13-0010.1</w:t>
        </w:r>
      </w:hyperlink>
    </w:p>
    <w:bookmarkEnd w:id="91"/>
    <w:bookmarkStart w:id="93"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2">
        <w:r>
          <w:rPr>
            <w:rStyle w:val="Hyperlink"/>
          </w:rPr>
          <w:t xml:space="preserve">https://doi.org/10.1016/j.tplants.2012.08.005</w:t>
        </w:r>
      </w:hyperlink>
    </w:p>
    <w:bookmarkEnd w:id="93"/>
    <w:bookmarkStart w:id="95"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4">
        <w:r>
          <w:rPr>
            <w:rStyle w:val="Hyperlink"/>
          </w:rPr>
          <w:t xml:space="preserve">https://doi.org/10.1078/1125-7865-00017</w:t>
        </w:r>
      </w:hyperlink>
    </w:p>
    <w:bookmarkEnd w:id="95"/>
    <w:bookmarkStart w:id="97" w:name="ref-brienen_detecting_2012"/>
    <w:p>
      <w:pPr>
        <w:pStyle w:val="Bibliography"/>
      </w:pPr>
      <w:r>
        <w:t xml:space="preserve">Brienen, R. J. W., Gloor, E., &amp; Zuidema, P. A. (2012). Detecting evidence for</w:t>
      </w:r>
      <w:r>
        <w:t xml:space="preserve"> </w:t>
      </w:r>
      <w:r>
        <w:t xml:space="preserve">CO</w:t>
      </w:r>
      <w:r>
        <w:rPr>
          <w:vertAlign w:val="subscript"/>
        </w:rPr>
        <w:t xml:space="preserve">2</w:t>
      </w:r>
      <w:r>
        <w:t xml:space="preserve"> </w:t>
      </w:r>
      <w:r>
        <w:t xml:space="preserve">fertilization from tree ring studies: The 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96">
        <w:r>
          <w:rPr>
            <w:rStyle w:val="Hyperlink"/>
          </w:rPr>
          <w:t xml:space="preserve">https://doi.org/10.1029/2011GB004143</w:t>
        </w:r>
      </w:hyperlink>
    </w:p>
    <w:bookmarkEnd w:id="97"/>
    <w:bookmarkStart w:id="99"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8">
        <w:r>
          <w:rPr>
            <w:rStyle w:val="Hyperlink"/>
          </w:rPr>
          <w:t xml:space="preserve">https://doi.org/10.1111/gcb.13410</w:t>
        </w:r>
      </w:hyperlink>
    </w:p>
    <w:bookmarkEnd w:id="99"/>
    <w:bookmarkStart w:id="101"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0">
        <w:r>
          <w:rPr>
            <w:rStyle w:val="Hyperlink"/>
          </w:rPr>
          <w:t xml:space="preserve">https://doi.org/10.1139/cjfr-2018-0206</w:t>
        </w:r>
      </w:hyperlink>
    </w:p>
    <w:bookmarkEnd w:id="101"/>
    <w:bookmarkStart w:id="103"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2">
        <w:r>
          <w:rPr>
            <w:rStyle w:val="Hyperlink"/>
          </w:rPr>
          <w:t xml:space="preserve">https://doi.org/10.1126/science.1197175</w:t>
        </w:r>
      </w:hyperlink>
    </w:p>
    <w:bookmarkEnd w:id="103"/>
    <w:bookmarkStart w:id="10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4">
        <w:r>
          <w:rPr>
            <w:rStyle w:val="Hyperlink"/>
          </w:rPr>
          <w:t xml:space="preserve">https://doi.org/10.1111/gcb.13535</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 A 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lark_individualscale_2011"/>
    <w:p>
      <w:pPr>
        <w:pStyle w:val="Bibliography"/>
      </w:pPr>
      <w:r>
        <w:t xml:space="preserve">Clark, J. S., Bell, D. M., Hersh, M. H., Kwit, M. C., Moran, E., Salk, C., Stine, A., Valle, D., &amp; Zhu, K. (2011). Individual-scale variation, species-scale differences: Inference needed to understand diversity: Individual-scale variation, species-scale differences.</w:t>
      </w:r>
      <w:r>
        <w:t xml:space="preserve"> </w:t>
      </w:r>
      <w:r>
        <w:rPr>
          <w:iCs/>
          <w:i/>
        </w:rPr>
        <w:t xml:space="preserve">Ecology Letters</w:t>
      </w:r>
      <w:r>
        <w:t xml:space="preserve">,</w:t>
      </w:r>
      <w:r>
        <w:t xml:space="preserve"> </w:t>
      </w:r>
      <w:r>
        <w:rPr>
          <w:iCs/>
          <w:i/>
        </w:rPr>
        <w:t xml:space="preserve">14</w:t>
      </w:r>
      <w:r>
        <w:t xml:space="preserve">(12), 1273–1287.</w:t>
      </w:r>
      <w:r>
        <w:t xml:space="preserve"> </w:t>
      </w:r>
      <w:hyperlink r:id="rId108">
        <w:r>
          <w:rPr>
            <w:rStyle w:val="Hyperlink"/>
          </w:rPr>
          <w:t xml:space="preserve">https://doi.org/10.1111/j.1461-0248.2011.01685.x</w:t>
        </w:r>
      </w:hyperlink>
    </w:p>
    <w:bookmarkEnd w:id="109"/>
    <w:bookmarkStart w:id="111" w:name="ref-clark_coexistence_2003"/>
    <w:p>
      <w:pPr>
        <w:pStyle w:val="Bibliography"/>
      </w:pPr>
      <w:r>
        <w:t xml:space="preserve">Clark, J. S., Mohan, J., Dietze, M., &amp; Ibanez, I. (2003). Coexistence: How to</w:t>
      </w:r>
      <w:r>
        <w:t xml:space="preserve"> </w:t>
      </w:r>
      <w:r>
        <w:t xml:space="preserve">Identify Trophic Trade</w:t>
      </w:r>
      <w:r>
        <w:t xml:space="preserve">-</w:t>
      </w:r>
      <w:r>
        <w:t xml:space="preserve">Offs</w:t>
      </w:r>
      <w:r>
        <w:t xml:space="preserve">.</w:t>
      </w:r>
      <w:r>
        <w:t xml:space="preserve"> </w:t>
      </w:r>
      <w:r>
        <w:rPr>
          <w:iCs/>
          <w:i/>
        </w:rPr>
        <w:t xml:space="preserve">Ecology</w:t>
      </w:r>
      <w:r>
        <w:t xml:space="preserve">,</w:t>
      </w:r>
      <w:r>
        <w:t xml:space="preserve"> </w:t>
      </w:r>
      <w:r>
        <w:rPr>
          <w:iCs/>
          <w:i/>
        </w:rPr>
        <w:t xml:space="preserve">84</w:t>
      </w:r>
      <w:r>
        <w:t xml:space="preserve">(1), 17–31.</w:t>
      </w:r>
      <w:r>
        <w:t xml:space="preserve"> </w:t>
      </w:r>
      <w:hyperlink r:id="rId110">
        <w:r>
          <w:rPr>
            <w:rStyle w:val="Hyperlink"/>
          </w:rPr>
          <w:t xml:space="preserve">https://doi.org/10.1890/0012-9658(2003)084[0017:CHTITT]2.0.CO;2</w:t>
        </w:r>
      </w:hyperlink>
    </w:p>
    <w:bookmarkEnd w:id="111"/>
    <w:bookmarkStart w:id="113" w:name="ref-collalti_forest_2020"/>
    <w:p>
      <w:pPr>
        <w:pStyle w:val="Bibliography"/>
      </w:pPr>
      <w:r>
        <w:t xml:space="preserve">Collalti, A., Ibrom, A., Stockmarr, A., Cescatti, A., Alkama, R., Fernández-Martínez, M., Matteucci, G., Sitch, S., Friedlingstein, P., Ciais, P., Goll, D. S., Nabel, J. E. M. S., Pongratz, J., Arneth, A., Haverd, V., &amp; Prentice, I. C. (2020). Forest production efficiency increases with growth temperature.</w:t>
      </w:r>
      <w:r>
        <w:t xml:space="preserve"> </w:t>
      </w:r>
      <w:r>
        <w:rPr>
          <w:iCs/>
          <w:i/>
        </w:rPr>
        <w:t xml:space="preserve">Nature Communications</w:t>
      </w:r>
      <w:r>
        <w:t xml:space="preserve">,</w:t>
      </w:r>
      <w:r>
        <w:t xml:space="preserve"> </w:t>
      </w:r>
      <w:r>
        <w:rPr>
          <w:iCs/>
          <w:i/>
        </w:rPr>
        <w:t xml:space="preserve">11</w:t>
      </w:r>
      <w:r>
        <w:t xml:space="preserve">(1), 5322.</w:t>
      </w:r>
      <w:r>
        <w:t xml:space="preserve"> </w:t>
      </w:r>
      <w:hyperlink r:id="rId112">
        <w:r>
          <w:rPr>
            <w:rStyle w:val="Hyperlink"/>
          </w:rPr>
          <w:t xml:space="preserve">https://doi.org/10.1038/s41467-020-19187-w</w:t>
        </w:r>
      </w:hyperlink>
    </w:p>
    <w:bookmarkEnd w:id="113"/>
    <w:bookmarkStart w:id="114" w:name="ref-cook_time_1985"/>
    <w:p>
      <w:pPr>
        <w:pStyle w:val="Bibliography"/>
      </w:pPr>
      <w:r>
        <w:t xml:space="preserve">Cook, E. R. (1985).</w:t>
      </w:r>
      <w:r>
        <w:t xml:space="preserve"> </w:t>
      </w:r>
      <w:r>
        <w:rPr>
          <w:iCs/>
          <w:i/>
        </w:rPr>
        <w:t xml:space="preserve">A</w:t>
      </w:r>
      <w:r>
        <w:rPr>
          <w:iCs/>
          <w:i/>
        </w:rPr>
        <w:t xml:space="preserve"> </w:t>
      </w:r>
      <w:r>
        <w:rPr>
          <w:iCs/>
          <w:i/>
        </w:rPr>
        <w:t xml:space="preserve">Time Series Analysis Approach</w:t>
      </w:r>
      <w:r>
        <w:rPr>
          <w:iCs/>
          <w:i/>
        </w:rPr>
        <w:t xml:space="preserve"> </w:t>
      </w:r>
      <w:r>
        <w:rPr>
          <w:iCs/>
          <w:i/>
        </w:rPr>
        <w:t xml:space="preserve">to</w:t>
      </w:r>
      <w:r>
        <w:rPr>
          <w:iCs/>
          <w:i/>
        </w:rPr>
        <w:t xml:space="preserve"> </w:t>
      </w:r>
      <w:r>
        <w:rPr>
          <w:iCs/>
          <w:i/>
        </w:rPr>
        <w:t xml:space="preserve">Tree Ring Standardization</w:t>
      </w:r>
      <w:r>
        <w:rPr>
          <w:iCs/>
          <w:i/>
        </w:rPr>
        <w:t xml:space="preserve">: Vol. PhD</w:t>
      </w:r>
      <w:r>
        <w:t xml:space="preserve"> </w:t>
      </w:r>
      <w:r>
        <w:t xml:space="preserve">[PhD thesis]. University of Arizona.</w:t>
      </w:r>
    </w:p>
    <w:bookmarkEnd w:id="114"/>
    <w:bookmarkStart w:id="116"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5">
        <w:r>
          <w:rPr>
            <w:rStyle w:val="Hyperlink"/>
          </w:rPr>
          <w:t xml:space="preserve">https://doi.org/10.1177/095968369700700314</w:t>
        </w:r>
      </w:hyperlink>
    </w:p>
    <w:bookmarkEnd w:id="116"/>
    <w:bookmarkStart w:id="11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 Understanding 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7">
        <w:r>
          <w:rPr>
            <w:rStyle w:val="Hyperlink"/>
          </w:rPr>
          <w:t xml:space="preserve">https://doi.org/10.1016/j.biocon.2020.108907</w:t>
        </w:r>
      </w:hyperlink>
    </w:p>
    <w:bookmarkEnd w:id="118"/>
    <w:bookmarkStart w:id="12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9">
        <w:r>
          <w:rPr>
            <w:rStyle w:val="Hyperlink"/>
          </w:rPr>
          <w:t xml:space="preserve">https://doi.org/10.1016/j.foreco.2009.08.009</w:t>
        </w:r>
      </w:hyperlink>
    </w:p>
    <w:bookmarkEnd w:id="120"/>
    <w:bookmarkStart w:id="12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1">
        <w:r>
          <w:rPr>
            <w:rStyle w:val="Hyperlink"/>
          </w:rPr>
          <w:t xml:space="preserve">https://doi.org/10.1111/1365-2745.13569</w:t>
        </w:r>
      </w:hyperlink>
    </w:p>
    <w:bookmarkEnd w:id="122"/>
    <w:bookmarkStart w:id="123" w:name="ref-delucia_forest_2007"/>
    <w:p>
      <w:pPr>
        <w:pStyle w:val="Bibliography"/>
      </w:pPr>
      <w:r>
        <w:t xml:space="preserve">DeLucia, E. H., Drake, J., Thomas, R. B., &amp; Gonzalez-Meler, M. A. (2007). Forest carbon use efficiency: Is respiration a constant fraction of gross primary production?</w:t>
      </w:r>
      <w:r>
        <w:t xml:space="preserve"> </w:t>
      </w:r>
      <w:r>
        <w:rPr>
          <w:iCs/>
          <w:i/>
        </w:rPr>
        <w:t xml:space="preserve">Global Change Biology</w:t>
      </w:r>
      <w:r>
        <w:t xml:space="preserve">,</w:t>
      </w:r>
      <w:r>
        <w:t xml:space="preserve"> </w:t>
      </w:r>
      <w:r>
        <w:rPr>
          <w:iCs/>
          <w:i/>
        </w:rPr>
        <w:t xml:space="preserve">13</w:t>
      </w:r>
      <w:r>
        <w:t xml:space="preserve">, 1157–1167.</w:t>
      </w:r>
    </w:p>
    <w:bookmarkEnd w:id="123"/>
    <w:bookmarkStart w:id="12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4">
        <w:r>
          <w:rPr>
            <w:rStyle w:val="Hyperlink"/>
          </w:rPr>
          <w:t xml:space="preserve">https://doi.org/10.1038/s41467-020-14300-5</w:t>
        </w:r>
      </w:hyperlink>
    </w:p>
    <w:bookmarkEnd w:id="125"/>
    <w:bookmarkStart w:id="127" w:name="ref-disney_new_2020"/>
    <w:p>
      <w:pPr>
        <w:pStyle w:val="Bibliography"/>
      </w:pPr>
      <w:r>
        <w:t xml:space="preserve">Disney, M., Burt, A., Wilkes, P., Armston, J., &amp; Duncanson, L. (2020). New</w:t>
      </w:r>
      <w:r>
        <w:t xml:space="preserve"> </w:t>
      </w:r>
      <w:r>
        <w:t xml:space="preserve">3D</w:t>
      </w:r>
      <w:r>
        <w:t xml:space="preserve"> </w:t>
      </w:r>
      <w:r>
        <w:t xml:space="preserve">measurements of large redwood trees for biomass and structure.</w:t>
      </w:r>
      <w:r>
        <w:t xml:space="preserve"> </w:t>
      </w:r>
      <w:r>
        <w:rPr>
          <w:iCs/>
          <w:i/>
        </w:rPr>
        <w:t xml:space="preserve">Scientific Reports</w:t>
      </w:r>
      <w:r>
        <w:t xml:space="preserve">,</w:t>
      </w:r>
      <w:r>
        <w:t xml:space="preserve"> </w:t>
      </w:r>
      <w:r>
        <w:rPr>
          <w:iCs/>
          <w:i/>
        </w:rPr>
        <w:t xml:space="preserve">10</w:t>
      </w:r>
      <w:r>
        <w:t xml:space="preserve">(1), 16721.</w:t>
      </w:r>
      <w:r>
        <w:t xml:space="preserve"> </w:t>
      </w:r>
      <w:hyperlink r:id="rId126">
        <w:r>
          <w:rPr>
            <w:rStyle w:val="Hyperlink"/>
          </w:rPr>
          <w:t xml:space="preserve">https://doi.org/10.1038/s41598-020-73733-6</w:t>
        </w:r>
      </w:hyperlink>
    </w:p>
    <w:bookmarkEnd w:id="127"/>
    <w:bookmarkStart w:id="129" w:name="ref-duchesne_large_2019"/>
    <w:p>
      <w:pPr>
        <w:pStyle w:val="Bibliography"/>
      </w:pPr>
      <w:r>
        <w:t xml:space="preserve">Duchesne, L., Houle, D., Ouimet, R., Caldwell, L., Gloor, M., &amp; Brienen, R. (2019). Large apparent growth increases in boreal forests inferred from tree-rings are an artefact of sampling biases.</w:t>
      </w:r>
      <w:r>
        <w:t xml:space="preserve"> </w:t>
      </w:r>
      <w:r>
        <w:rPr>
          <w:iCs/>
          <w:i/>
        </w:rPr>
        <w:t xml:space="preserve">Scientific Reports</w:t>
      </w:r>
      <w:r>
        <w:t xml:space="preserve">,</w:t>
      </w:r>
      <w:r>
        <w:t xml:space="preserve"> </w:t>
      </w:r>
      <w:r>
        <w:rPr>
          <w:iCs/>
          <w:i/>
        </w:rPr>
        <w:t xml:space="preserve">9</w:t>
      </w:r>
      <w:r>
        <w:t xml:space="preserve">(1), 6832.</w:t>
      </w:r>
      <w:r>
        <w:t xml:space="preserve"> </w:t>
      </w:r>
      <w:hyperlink r:id="rId128">
        <w:r>
          <w:rPr>
            <w:rStyle w:val="Hyperlink"/>
          </w:rPr>
          <w:t xml:space="preserve">https://doi.org/10.1038/s41598-019-43243-1</w:t>
        </w:r>
      </w:hyperlink>
    </w:p>
    <w:bookmarkEnd w:id="129"/>
    <w:bookmarkStart w:id="13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0">
        <w:r>
          <w:rPr>
            <w:rStyle w:val="Hyperlink"/>
          </w:rPr>
          <w:t xml:space="preserve">https://doi.org/10.1002/ecs2.1454</w:t>
        </w:r>
      </w:hyperlink>
    </w:p>
    <w:bookmarkEnd w:id="131"/>
    <w:bookmarkStart w:id="13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2">
        <w:r>
          <w:rPr>
            <w:rStyle w:val="Hyperlink"/>
          </w:rPr>
          <w:t xml:space="preserve">https://doi.org/10.1016/j.foreco.2008.10.014</w:t>
        </w:r>
      </w:hyperlink>
    </w:p>
    <w:bookmarkEnd w:id="133"/>
    <w:bookmarkStart w:id="135"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4">
        <w:r>
          <w:rPr>
            <w:rStyle w:val="Hyperlink"/>
          </w:rPr>
          <w:t xml:space="preserve">https://doi.org/10.1002/ecs2.1889</w:t>
        </w:r>
      </w:hyperlink>
    </w:p>
    <w:bookmarkEnd w:id="135"/>
    <w:bookmarkStart w:id="137"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6">
        <w:r>
          <w:rPr>
            <w:rStyle w:val="Hyperlink"/>
          </w:rPr>
          <w:t xml:space="preserve">https://doi.org/10.1002/ecm.1423</w:t>
        </w:r>
      </w:hyperlink>
    </w:p>
    <w:bookmarkEnd w:id="137"/>
    <w:bookmarkStart w:id="139"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8">
        <w:r>
          <w:rPr>
            <w:rStyle w:val="Hyperlink"/>
          </w:rPr>
          <w:t xml:space="preserve">https://doi.org/10.1016/j.foreco.2020.118717</w:t>
        </w:r>
      </w:hyperlink>
    </w:p>
    <w:bookmarkEnd w:id="139"/>
    <w:bookmarkStart w:id="141" w:name="ref-foster_predicting_2016"/>
    <w:p>
      <w:pPr>
        <w:pStyle w:val="Bibliography"/>
      </w:pPr>
      <w:r>
        <w:t xml:space="preserve">Foster, J. R., Finley, A. O., D’Amato, A. W., Bradford, J. B., &amp; Banerjee, S. (2016). Predicting tree biomass growth in the temperate- boreal ecotone: Is 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0">
        <w:r>
          <w:rPr>
            <w:rStyle w:val="Hyperlink"/>
          </w:rPr>
          <w:t xml:space="preserve">https://doi.org/10.1111/gcb.13208</w:t>
        </w:r>
      </w:hyperlink>
    </w:p>
    <w:bookmarkEnd w:id="141"/>
    <w:bookmarkStart w:id="142"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2"/>
    <w:bookmarkStart w:id="144" w:name="ref-fritts_dendroecology_1989"/>
    <w:p>
      <w:pPr>
        <w:pStyle w:val="Bibliography"/>
      </w:pPr>
      <w:r>
        <w:t xml:space="preserve">Fritts, H. C., &amp; Swetnam, T. W. (1989). Dendroecology: A</w:t>
      </w:r>
      <w:r>
        <w:t xml:space="preserve"> </w:t>
      </w:r>
      <w:r>
        <w:t xml:space="preserve">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3">
        <w:r>
          <w:rPr>
            <w:rStyle w:val="Hyperlink"/>
          </w:rPr>
          <w:t xml:space="preserve">https://doi.org/10.1016/S0065-2504(08)60158-0</w:t>
        </w:r>
      </w:hyperlink>
    </w:p>
    <w:bookmarkEnd w:id="144"/>
    <w:bookmarkStart w:id="146"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5">
        <w:r>
          <w:rPr>
            <w:rStyle w:val="Hyperlink"/>
          </w:rPr>
          <w:t xml:space="preserve">https://doi.org/10.1002/ecs2.1847</w:t>
        </w:r>
      </w:hyperlink>
    </w:p>
    <w:bookmarkEnd w:id="146"/>
    <w:bookmarkStart w:id="148"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7">
        <w:r>
          <w:rPr>
            <w:rStyle w:val="Hyperlink"/>
          </w:rPr>
          <w:t xml:space="preserve">https://doi.org/10.1007/s10584-020-02868-2</w:t>
        </w:r>
      </w:hyperlink>
    </w:p>
    <w:bookmarkEnd w:id="148"/>
    <w:bookmarkStart w:id="150"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9">
        <w:r>
          <w:rPr>
            <w:rStyle w:val="Hyperlink"/>
          </w:rPr>
          <w:t xml:space="preserve">https://doi.org/10.1007/s10021-020-00501-y</w:t>
        </w:r>
      </w:hyperlink>
    </w:p>
    <w:bookmarkEnd w:id="150"/>
    <w:bookmarkStart w:id="152"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1">
        <w:r>
          <w:rPr>
            <w:rStyle w:val="Hyperlink"/>
          </w:rPr>
          <w:t xml:space="preserve">https://doi.org/10.1073/pnas.1610156113</w:t>
        </w:r>
      </w:hyperlink>
    </w:p>
    <w:bookmarkEnd w:id="152"/>
    <w:bookmarkStart w:id="154" w:name="ref-goodman_importance_2014b"/>
    <w:p>
      <w:pPr>
        <w:pStyle w:val="Bibliography"/>
      </w:pPr>
      <w:r>
        <w:t xml:space="preserve">Goodman, R. C., Phillips, O. L., &amp; Baker, T. R. (2014). The importance of crown dimensions to improve tropical tree biomass estimates.</w:t>
      </w:r>
      <w:r>
        <w:t xml:space="preserve"> </w:t>
      </w:r>
      <w:r>
        <w:rPr>
          <w:iCs/>
          <w:i/>
        </w:rPr>
        <w:t xml:space="preserve">Ecological Applications</w:t>
      </w:r>
      <w:r>
        <w:t xml:space="preserve">,</w:t>
      </w:r>
      <w:r>
        <w:t xml:space="preserve"> </w:t>
      </w:r>
      <w:r>
        <w:rPr>
          <w:iCs/>
          <w:i/>
        </w:rPr>
        <w:t xml:space="preserve">24</w:t>
      </w:r>
      <w:r>
        <w:t xml:space="preserve">(4), 680–698.</w:t>
      </w:r>
      <w:r>
        <w:t xml:space="preserve"> </w:t>
      </w:r>
      <w:hyperlink r:id="rId153">
        <w:r>
          <w:rPr>
            <w:rStyle w:val="Hyperlink"/>
          </w:rPr>
          <w:t xml:space="preserve">https://doi.org/10.1890/13-0070.1</w:t>
        </w:r>
      </w:hyperlink>
    </w:p>
    <w:bookmarkEnd w:id="154"/>
    <w:bookmarkStart w:id="155"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5"/>
    <w:bookmarkStart w:id="157"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 Cascade</w:t>
      </w:r>
      <w:r>
        <w:t xml:space="preserve"> </w:t>
      </w:r>
      <w:r>
        <w:t xml:space="preserve">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6">
        <w:r>
          <w:rPr>
            <w:rStyle w:val="Hyperlink"/>
          </w:rPr>
          <w:t xml:space="preserve">https://doi.org/10.2307/1937545</w:t>
        </w:r>
      </w:hyperlink>
    </w:p>
    <w:bookmarkEnd w:id="157"/>
    <w:bookmarkStart w:id="15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8">
        <w:r>
          <w:rPr>
            <w:rStyle w:val="Hyperlink"/>
          </w:rPr>
          <w:t xml:space="preserve">https://doi.org/10.1111/gcb.12955</w:t>
        </w:r>
      </w:hyperlink>
    </w:p>
    <w:bookmarkEnd w:id="159"/>
    <w:bookmarkStart w:id="161"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0">
        <w:r>
          <w:rPr>
            <w:rStyle w:val="Hyperlink"/>
          </w:rPr>
          <w:t xml:space="preserve">https://doi.org/10.1007/s10342-016-0982-7</w:t>
        </w:r>
      </w:hyperlink>
    </w:p>
    <w:bookmarkEnd w:id="161"/>
    <w:bookmarkStart w:id="163"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2">
        <w:r>
          <w:rPr>
            <w:rStyle w:val="Hyperlink"/>
          </w:rPr>
          <w:t xml:space="preserve">https://doi.org/10.1111/gcb.14561</w:t>
        </w:r>
      </w:hyperlink>
    </w:p>
    <w:bookmarkEnd w:id="163"/>
    <w:bookmarkStart w:id="165"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4">
        <w:r>
          <w:rPr>
            <w:rStyle w:val="Hyperlink"/>
          </w:rPr>
          <w:t xml:space="preserve">https://doi.org/10.1002/joc.3711</w:t>
        </w:r>
      </w:hyperlink>
    </w:p>
    <w:bookmarkEnd w:id="165"/>
    <w:bookmarkStart w:id="167"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6">
        <w:r>
          <w:rPr>
            <w:rStyle w:val="Hyperlink"/>
          </w:rPr>
          <w:t xml:space="preserve">https://doi.org/10.1038/s41597-020-0453-3</w:t>
        </w:r>
      </w:hyperlink>
    </w:p>
    <w:bookmarkEnd w:id="167"/>
    <w:bookmarkStart w:id="16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8">
        <w:r>
          <w:rPr>
            <w:rStyle w:val="Hyperlink"/>
          </w:rPr>
          <w:t xml:space="preserve">https://doi.org/10.1111/nph.15906</w:t>
        </w:r>
      </w:hyperlink>
    </w:p>
    <w:bookmarkEnd w:id="169"/>
    <w:bookmarkStart w:id="171"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0">
        <w:r>
          <w:rPr>
            <w:rStyle w:val="Hyperlink"/>
          </w:rPr>
          <w:t xml:space="preserve">https://doi.org/10.1029/2018JG004573</w:t>
        </w:r>
      </w:hyperlink>
    </w:p>
    <w:bookmarkEnd w:id="171"/>
    <w:bookmarkStart w:id="173" w:name="ref-humphrey_soil_2021"/>
    <w:p>
      <w:pPr>
        <w:pStyle w:val="Bibliography"/>
      </w:pPr>
      <w:r>
        <w:t xml:space="preserve">Humphrey, V., Berg, A., Ciais, P., Gentine, P., Jung, M., Reichstein, M., Seneviratne, S. I., &amp; Frankenberg, C. (2021). Soil moisture</w:t>
      </w:r>
      <w:r>
        <w:t xml:space="preserve"> </w:t>
      </w:r>
      <w:r>
        <w:t xml:space="preserve">atmosphere feedback dominates land carbon uptake variability.</w:t>
      </w:r>
      <w:r>
        <w:t xml:space="preserve"> </w:t>
      </w:r>
      <w:r>
        <w:rPr>
          <w:iCs/>
          <w:i/>
        </w:rPr>
        <w:t xml:space="preserve">Nature</w:t>
      </w:r>
      <w:r>
        <w:t xml:space="preserve">,</w:t>
      </w:r>
      <w:r>
        <w:t xml:space="preserve"> </w:t>
      </w:r>
      <w:r>
        <w:rPr>
          <w:iCs/>
          <w:i/>
        </w:rPr>
        <w:t xml:space="preserve">592</w:t>
      </w:r>
      <w:r>
        <w:t xml:space="preserve">(7852), 65–69.</w:t>
      </w:r>
      <w:r>
        <w:t xml:space="preserve"> </w:t>
      </w:r>
      <w:hyperlink r:id="rId172">
        <w:r>
          <w:rPr>
            <w:rStyle w:val="Hyperlink"/>
          </w:rPr>
          <w:t xml:space="preserve">https://doi.org/10.1038/s41586-021-03325-5</w:t>
        </w:r>
      </w:hyperlink>
    </w:p>
    <w:bookmarkEnd w:id="173"/>
    <w:bookmarkStart w:id="174" w:name="ref-ipcc_climate_2014"/>
    <w:p>
      <w:pPr>
        <w:pStyle w:val="Bibliography"/>
      </w:pPr>
      <w:r>
        <w:t xml:space="preserve">IPCC. (2014).</w:t>
      </w:r>
      <w:r>
        <w:t xml:space="preserve"> </w:t>
      </w:r>
      <w:r>
        <w:rPr>
          <w:iCs/>
          <w:i/>
        </w:rPr>
        <w:t xml:space="preserve">Climate change 2014: Impacts, adaptation, and vulnerability: Working</w:t>
      </w:r>
      <w:r>
        <w:rPr>
          <w:iCs/>
          <w:i/>
        </w:rPr>
        <w:t xml:space="preserve"> </w:t>
      </w:r>
      <w:r>
        <w:rPr>
          <w:iCs/>
          <w:i/>
        </w:rPr>
        <w:t xml:space="preserve">Group II</w:t>
      </w:r>
      <w:r>
        <w:rPr>
          <w:iCs/>
          <w:i/>
        </w:rPr>
        <w:t xml:space="preserve"> </w:t>
      </w:r>
      <w:r>
        <w:rPr>
          <w:iCs/>
          <w:i/>
        </w:rPr>
        <w:t xml:space="preserve">contribution to the fifth assessment report of the</w:t>
      </w:r>
      <w:r>
        <w:rPr>
          <w:iCs/>
          <w:i/>
        </w:rPr>
        <w:t xml:space="preserve"> </w:t>
      </w:r>
      <w:r>
        <w:rPr>
          <w:iCs/>
          <w:i/>
        </w:rPr>
        <w:t xml:space="preserve">Intergovernmental Panel</w:t>
      </w:r>
      <w:r>
        <w:rPr>
          <w:iCs/>
          <w:i/>
        </w:rPr>
        <w:t xml:space="preserve"> </w:t>
      </w:r>
      <w:r>
        <w:rPr>
          <w:iCs/>
          <w:i/>
        </w:rPr>
        <w:t xml:space="preserve">on</w:t>
      </w:r>
      <w:r>
        <w:rPr>
          <w:iCs/>
          <w:i/>
        </w:rPr>
        <w:t xml:space="preserve"> </w:t>
      </w:r>
      <w:r>
        <w:rPr>
          <w:iCs/>
          <w:i/>
        </w:rPr>
        <w:t xml:space="preserve">Climate Change</w:t>
      </w:r>
      <w:r>
        <w:t xml:space="preserve"> </w:t>
      </w:r>
      <w:r>
        <w:t xml:space="preserve">(V. R. Barros &amp; C. B. Field, Eds.).</w:t>
      </w:r>
      <w:r>
        <w:t xml:space="preserve"> </w:t>
      </w:r>
      <w:r>
        <w:t xml:space="preserve">Cambridge University Press</w:t>
      </w:r>
      <w:r>
        <w:t xml:space="preserve">.</w:t>
      </w:r>
    </w:p>
    <w:bookmarkEnd w:id="174"/>
    <w:bookmarkStart w:id="17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Cs/>
          <w:i/>
        </w:rPr>
        <w:t xml:space="preserve">Nature Climate Change</w:t>
      </w:r>
      <w:r>
        <w:t xml:space="preserve">,</w:t>
      </w:r>
      <w:r>
        <w:t xml:space="preserve"> </w:t>
      </w:r>
      <w:r>
        <w:rPr>
          <w:iCs/>
          <w:i/>
        </w:rPr>
        <w:t xml:space="preserve">4</w:t>
      </w:r>
      <w:r>
        <w:t xml:space="preserve">(7), 598–604.</w:t>
      </w:r>
      <w:r>
        <w:t xml:space="preserve"> </w:t>
      </w:r>
      <w:hyperlink r:id="rId175">
        <w:r>
          <w:rPr>
            <w:rStyle w:val="Hyperlink"/>
          </w:rPr>
          <w:t xml:space="preserve">https://doi.org/10.1038/nclimate2253</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5">
        <w:r>
          <w:rPr>
            <w:rStyle w:val="Hyperlink"/>
          </w:rPr>
          <w:t xml:space="preserve">https://doi.org/10.1139/x89-102</w:t>
        </w:r>
      </w:hyperlink>
    </w:p>
    <w:bookmarkEnd w:id="186"/>
    <w:bookmarkStart w:id="18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7">
        <w:r>
          <w:rPr>
            <w:rStyle w:val="Hyperlink"/>
          </w:rPr>
          <w:t xml:space="preserve">https://doi.org/10.2307/1941026</w:t>
        </w:r>
      </w:hyperlink>
    </w:p>
    <w:bookmarkEnd w:id="188"/>
    <w:bookmarkStart w:id="190" w:name="ref-lopez_systemic_2021"/>
    <w:p>
      <w:pPr>
        <w:pStyle w:val="Bibliography"/>
      </w:pPr>
      <w:r>
        <w:t xml:space="preserve">López, J., Way, D. A., &amp; Sadok, W. (2021). Systemic effects of rising atmospheric vapor pressure deficit on plant physiology and productivity.</w:t>
      </w:r>
      <w:r>
        <w:t xml:space="preserve"> </w:t>
      </w:r>
      <w:r>
        <w:rPr>
          <w:iCs/>
          <w:i/>
        </w:rPr>
        <w:t xml:space="preserve">Global Change Biology</w:t>
      </w:r>
      <w:r>
        <w:t xml:space="preserve">,</w:t>
      </w:r>
      <w:r>
        <w:t xml:space="preserve"> </w:t>
      </w:r>
      <w:r>
        <w:rPr>
          <w:iCs/>
          <w:i/>
        </w:rPr>
        <w:t xml:space="preserve">27</w:t>
      </w:r>
      <w:r>
        <w:t xml:space="preserve">(9), 1704–1720.</w:t>
      </w:r>
      <w:r>
        <w:t xml:space="preserve"> </w:t>
      </w:r>
      <w:hyperlink r:id="rId189">
        <w:r>
          <w:rPr>
            <w:rStyle w:val="Hyperlink"/>
          </w:rPr>
          <w:t xml:space="preserve">https://doi.org/10.1111/gcb.15548</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1"/>
    <w:p>
      <w:pPr>
        <w:pStyle w:val="Bibliography"/>
      </w:pPr>
      <w:r>
        <w:t xml:space="preserve">McGregor, I. R., Helcoski, R., Kunert, N., Tepley, A. J., Gonzalez-Akre, E. B., Herrmann, V., Zailaa, J., Stovall, A. E. L., Bourg, N. A., McShea, W. J., Pederson, N., Sack, L., &amp; Anderson-Teixeira, K. J. (2021). Tree height and leaf drought tolerance traits shape growth responses across droughts in a temperate broadleaf forest.</w:t>
      </w:r>
      <w:r>
        <w:t xml:space="preserve"> </w:t>
      </w:r>
      <w:r>
        <w:rPr>
          <w:iCs/>
          <w:i/>
        </w:rPr>
        <w:t xml:space="preserve">New Phytologist</w:t>
      </w:r>
      <w:r>
        <w:t xml:space="preserve">,</w:t>
      </w:r>
      <w:r>
        <w:t xml:space="preserve"> </w:t>
      </w:r>
      <w:r>
        <w:rPr>
          <w:iCs/>
          <w:i/>
        </w:rPr>
        <w:t xml:space="preserve">231</w:t>
      </w:r>
      <w:r>
        <w:t xml:space="preserve">(2), 601–616.</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 A</w:t>
      </w:r>
      <w:r>
        <w:t xml:space="preserve"> </w:t>
      </w:r>
      <w:r>
        <w:t xml:space="preserve">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2">
        <w:r>
          <w:rPr>
            <w:rStyle w:val="Hyperlink"/>
          </w:rPr>
          <w:t xml:space="preserve">https://doi.org/10.1111/j.1365-2486.2010.02222.x</w:t>
        </w:r>
      </w:hyperlink>
    </w:p>
    <w:bookmarkEnd w:id="213"/>
    <w:bookmarkStart w:id="215" w:name="ref-novick_increasing_2016"/>
    <w:p>
      <w:pPr>
        <w:pStyle w:val="Bibliography"/>
      </w:pPr>
      <w:r>
        <w:t xml:space="preserve">Novick, K. A., Ficklin, D. L., Stoy, P. C., Williams, C. A., Bohrer, G., Oishi, A. C., Papuga, S. A., Blanken, P. D., Noormets, A., Sulman, B. N., Scott, R. L., Wang, L., &amp; Phillips, R. P. (2016). The increasing importance of atmospheric demand for ecosystem water and carbon fluxes.</w:t>
      </w:r>
      <w:r>
        <w:t xml:space="preserve"> </w:t>
      </w:r>
      <w:r>
        <w:rPr>
          <w:iCs/>
          <w:i/>
        </w:rPr>
        <w:t xml:space="preserve">Nature Climate Change</w:t>
      </w:r>
      <w:r>
        <w:t xml:space="preserve">,</w:t>
      </w:r>
      <w:r>
        <w:t xml:space="preserve"> </w:t>
      </w:r>
      <w:r>
        <w:rPr>
          <w:iCs/>
          <w:i/>
        </w:rPr>
        <w:t xml:space="preserve">6</w:t>
      </w:r>
      <w:r>
        <w:t xml:space="preserve">(11), 1023–1027.</w:t>
      </w:r>
      <w:r>
        <w:t xml:space="preserve"> </w:t>
      </w:r>
      <w:hyperlink r:id="rId214">
        <w:r>
          <w:rPr>
            <w:rStyle w:val="Hyperlink"/>
          </w:rPr>
          <w:t xml:space="preserve">https://doi.org/10.1038/nclimate3114</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7">
        <w:r>
          <w:rPr>
            <w:rStyle w:val="Hyperlink"/>
          </w:rPr>
          <w:t xml:space="preserve">https://doi.org/10.1111/gcb.12826</w:t>
        </w:r>
      </w:hyperlink>
    </w:p>
    <w:bookmarkEnd w:id="218"/>
    <w:bookmarkStart w:id="219" w:name="ref-pinheiro_nlme_2021"/>
    <w:p>
      <w:pPr>
        <w:pStyle w:val="Bibliography"/>
      </w:pPr>
      <w:r>
        <w:t xml:space="preserve">Pinheiro, J., Bates, D., DebRoy, S., Sarkar, D., EISPACK authors, Heisterkamp, S., Van Willigen, B., Ranke, J., &amp; R-core. (2021).</w:t>
      </w:r>
      <w:r>
        <w:t xml:space="preserve"> </w:t>
      </w:r>
      <w:r>
        <w:rPr>
          <w:iCs/>
          <w:i/>
        </w:rPr>
        <w:t xml:space="preserve">Nlme: Linear and</w:t>
      </w:r>
      <w:r>
        <w:rPr>
          <w:iCs/>
          <w:i/>
        </w:rPr>
        <w:t xml:space="preserve"> </w:t>
      </w:r>
      <w:r>
        <w:rPr>
          <w:iCs/>
          <w:i/>
        </w:rPr>
        <w:t xml:space="preserve">Nonlinear Mixed Effects Models</w:t>
      </w:r>
      <w:r>
        <w:t xml:space="preserve">.</w:t>
      </w:r>
    </w:p>
    <w:bookmarkEnd w:id="219"/>
    <w:bookmarkStart w:id="221" w:name="ref-piovesan_lessons_2019"/>
    <w:p>
      <w:pPr>
        <w:pStyle w:val="Bibliography"/>
      </w:pPr>
      <w:r>
        <w:t xml:space="preserve">Piovesan, G., Biondi, F., Baliva, M., De Vivo, G., Marchianò, V., Schettino, A., &amp; Di Filippo, A. (2019). Lessons from the wild: Slow but increasing long-term growth allows for maximum longevity in</w:t>
      </w:r>
      <w:r>
        <w:t xml:space="preserve"> </w:t>
      </w:r>
      <w:r>
        <w:t xml:space="preserve">European</w:t>
      </w:r>
      <w:r>
        <w:t xml:space="preserve"> </w:t>
      </w:r>
      <w:r>
        <w:t xml:space="preserve">beech.</w:t>
      </w:r>
      <w:r>
        <w:t xml:space="preserve"> </w:t>
      </w:r>
      <w:r>
        <w:rPr>
          <w:iCs/>
          <w:i/>
        </w:rPr>
        <w:t xml:space="preserve">Ecology</w:t>
      </w:r>
      <w:r>
        <w:t xml:space="preserve">,</w:t>
      </w:r>
      <w:r>
        <w:t xml:space="preserve"> </w:t>
      </w:r>
      <w:r>
        <w:rPr>
          <w:iCs/>
          <w:i/>
        </w:rPr>
        <w:t xml:space="preserve">100</w:t>
      </w:r>
      <w:r>
        <w:t xml:space="preserve">(9).</w:t>
      </w:r>
      <w:r>
        <w:t xml:space="preserve"> </w:t>
      </w:r>
      <w:hyperlink r:id="rId220">
        <w:r>
          <w:rPr>
            <w:rStyle w:val="Hyperlink"/>
          </w:rPr>
          <w:t xml:space="preserve">https://doi.org/10.1002/ecy.2737</w:t>
        </w:r>
      </w:hyperlink>
    </w:p>
    <w:bookmarkEnd w:id="221"/>
    <w:bookmarkStart w:id="222"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2"/>
    <w:bookmarkStart w:id="22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3">
        <w:r>
          <w:rPr>
            <w:rStyle w:val="Hyperlink"/>
          </w:rPr>
          <w:t xml:space="preserve">https://doi.org/10.1186/s40663-018-0139-x</w:t>
        </w:r>
      </w:hyperlink>
    </w:p>
    <w:bookmarkEnd w:id="224"/>
    <w:bookmarkStart w:id="226" w:name="ref-qiu_there_2021"/>
    <w:p>
      <w:pPr>
        <w:pStyle w:val="Bibliography"/>
      </w:pPr>
      <w:r>
        <w:t xml:space="preserve">Qiu, T., Aravena, M.-C., Andrus, R., Ascoli, D., Bergeron, Y., Berretti, R., Bogdziewicz, M., Boivin, T., Bonal, R., Caignard, T., Calama, R., Camarero, J. J., Clark, C. J., Courbaud, B., Delzon, S., Calderon, S. D., Farfan-Rios, W., Gehring, C. A., Gilbert, G. S., … Clark, J. S. (2021). Is there tree senescence? The fecundity evidence.</w:t>
      </w:r>
      <w:r>
        <w:t xml:space="preserve"> </w:t>
      </w:r>
      <w:r>
        <w:rPr>
          <w:iCs/>
          <w:i/>
        </w:rPr>
        <w:t xml:space="preserve">Proceedings of the National Academy of Sciences</w:t>
      </w:r>
      <w:r>
        <w:t xml:space="preserve">,</w:t>
      </w:r>
      <w:r>
        <w:t xml:space="preserve"> </w:t>
      </w:r>
      <w:r>
        <w:rPr>
          <w:iCs/>
          <w:i/>
        </w:rPr>
        <w:t xml:space="preserve">118</w:t>
      </w:r>
      <w:r>
        <w:t xml:space="preserve">(34).</w:t>
      </w:r>
      <w:r>
        <w:t xml:space="preserve"> </w:t>
      </w:r>
      <w:hyperlink r:id="rId225">
        <w:r>
          <w:rPr>
            <w:rStyle w:val="Hyperlink"/>
          </w:rPr>
          <w:t xml:space="preserve">https://doi.org/10.1073/pnas.2106130118</w:t>
        </w:r>
      </w:hyperlink>
    </w:p>
    <w:bookmarkEnd w:id="226"/>
    <w:bookmarkStart w:id="22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 A 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7">
        <w:r>
          <w:rPr>
            <w:rStyle w:val="Hyperlink"/>
          </w:rPr>
          <w:t xml:space="preserve">https://doi.org/10.1016/j.dendro.2020.125678</w:t>
        </w:r>
      </w:hyperlink>
    </w:p>
    <w:bookmarkEnd w:id="228"/>
    <w:bookmarkStart w:id="23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9">
        <w:r>
          <w:rPr>
            <w:rStyle w:val="Hyperlink"/>
          </w:rPr>
          <w:t xml:space="preserve">https://doi.org/10.1111/2041-210X.12753</w:t>
        </w:r>
      </w:hyperlink>
    </w:p>
    <w:bookmarkEnd w:id="230"/>
    <w:bookmarkStart w:id="23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1">
        <w:r>
          <w:rPr>
            <w:rStyle w:val="Hyperlink"/>
          </w:rPr>
          <w:t xml:space="preserve">https://doi.org/10.1002/ecy.3264</w:t>
        </w:r>
      </w:hyperlink>
    </w:p>
    <w:bookmarkEnd w:id="232"/>
    <w:bookmarkStart w:id="23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3">
        <w:r>
          <w:rPr>
            <w:rStyle w:val="Hyperlink"/>
          </w:rPr>
          <w:t xml:space="preserve">https://doi.org/10.1111/j.1469-8137.2007.02235.x</w:t>
        </w:r>
      </w:hyperlink>
    </w:p>
    <w:bookmarkEnd w:id="234"/>
    <w:bookmarkStart w:id="236" w:name="ref-rozendaal_dendroecology_2011"/>
    <w:p>
      <w:pPr>
        <w:pStyle w:val="Bibliography"/>
      </w:pPr>
      <w:r>
        <w:t xml:space="preserve">Rozendaal, D. M. A., &amp; Zuidema, P. A. (2011). Dendroecology in the tropics: A review.</w:t>
      </w:r>
      <w:r>
        <w:t xml:space="preserve"> </w:t>
      </w:r>
      <w:r>
        <w:rPr>
          <w:iCs/>
          <w:i/>
        </w:rPr>
        <w:t xml:space="preserve">Trees</w:t>
      </w:r>
      <w:r>
        <w:t xml:space="preserve">,</w:t>
      </w:r>
      <w:r>
        <w:t xml:space="preserve"> </w:t>
      </w:r>
      <w:r>
        <w:rPr>
          <w:iCs/>
          <w:i/>
        </w:rPr>
        <w:t xml:space="preserve">25</w:t>
      </w:r>
      <w:r>
        <w:t xml:space="preserve">(1), 3–16.</w:t>
      </w:r>
      <w:r>
        <w:t xml:space="preserve"> </w:t>
      </w:r>
      <w:hyperlink r:id="rId235">
        <w:r>
          <w:rPr>
            <w:rStyle w:val="Hyperlink"/>
          </w:rPr>
          <w:t xml:space="preserve">https://doi.org/10.1007/s00468-010-0480-3</w:t>
        </w:r>
      </w:hyperlink>
    </w:p>
    <w:bookmarkEnd w:id="236"/>
    <w:bookmarkStart w:id="23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7">
        <w:r>
          <w:rPr>
            <w:rStyle w:val="Hyperlink"/>
          </w:rPr>
          <w:t xml:space="preserve">https://doi.org/10.1016/j.foreco.2015.08.034</w:t>
        </w:r>
      </w:hyperlink>
    </w:p>
    <w:bookmarkEnd w:id="238"/>
    <w:bookmarkStart w:id="24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9">
        <w:r>
          <w:rPr>
            <w:rStyle w:val="Hyperlink"/>
          </w:rPr>
          <w:t xml:space="preserve">https://doi.org/10.1186/s40663-018-0133-3</w:t>
        </w:r>
      </w:hyperlink>
    </w:p>
    <w:bookmarkEnd w:id="240"/>
    <w:bookmarkStart w:id="242"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1">
        <w:r>
          <w:rPr>
            <w:rStyle w:val="Hyperlink"/>
          </w:rPr>
          <w:t xml:space="preserve">https://doi.org/10.1111/1365-2435.12775</w:t>
        </w:r>
      </w:hyperlink>
    </w:p>
    <w:bookmarkEnd w:id="242"/>
    <w:bookmarkStart w:id="244" w:name="ref-sillett_comparative_2021"/>
    <w:p>
      <w:pPr>
        <w:pStyle w:val="Bibliography"/>
      </w:pPr>
      <w:r>
        <w:t xml:space="preserve">Sillett, S. C., Kramer, R. D., Van Pelt, R., Carroll, A. L., Campbell-Spickler, J., &amp; Antoine, M. E. (2021). Comparative development of the four tallest conifer species.</w:t>
      </w:r>
      <w:r>
        <w:t xml:space="preserve"> </w:t>
      </w:r>
      <w:r>
        <w:rPr>
          <w:iCs/>
          <w:i/>
        </w:rPr>
        <w:t xml:space="preserve">Forest Ecology and Management</w:t>
      </w:r>
      <w:r>
        <w:t xml:space="preserve">,</w:t>
      </w:r>
      <w:r>
        <w:t xml:space="preserve"> </w:t>
      </w:r>
      <w:r>
        <w:rPr>
          <w:iCs/>
          <w:i/>
        </w:rPr>
        <w:t xml:space="preserve">480</w:t>
      </w:r>
      <w:r>
        <w:t xml:space="preserve">, 118688.</w:t>
      </w:r>
      <w:r>
        <w:t xml:space="preserve"> </w:t>
      </w:r>
      <w:hyperlink r:id="rId243">
        <w:r>
          <w:rPr>
            <w:rStyle w:val="Hyperlink"/>
          </w:rPr>
          <w:t xml:space="preserve">https://doi.org/10.1016/j.foreco.2020.118688</w:t>
        </w:r>
      </w:hyperlink>
    </w:p>
    <w:bookmarkEnd w:id="244"/>
    <w:bookmarkStart w:id="246" w:name="ref-sillett_increasing_2010"/>
    <w:p>
      <w:pPr>
        <w:pStyle w:val="Bibliography"/>
      </w:pPr>
      <w:r>
        <w:t xml:space="preserve">Sillett, S. C., Van Pelt, R., Koch, G. W., Ambrose, A. R., Carroll, A. L., Antoine, M. E., &amp; Mifsud, B. M. (2010). Increasing wood production through old age in tall trees.</w:t>
      </w:r>
      <w:r>
        <w:t xml:space="preserve"> </w:t>
      </w:r>
      <w:r>
        <w:rPr>
          <w:iCs/>
          <w:i/>
        </w:rPr>
        <w:t xml:space="preserve">Forest Ecology and Management</w:t>
      </w:r>
      <w:r>
        <w:t xml:space="preserve">,</w:t>
      </w:r>
      <w:r>
        <w:t xml:space="preserve"> </w:t>
      </w:r>
      <w:r>
        <w:rPr>
          <w:iCs/>
          <w:i/>
        </w:rPr>
        <w:t xml:space="preserve">259</w:t>
      </w:r>
      <w:r>
        <w:t xml:space="preserve">(5), 976–994.</w:t>
      </w:r>
      <w:r>
        <w:t xml:space="preserve"> </w:t>
      </w:r>
      <w:hyperlink r:id="rId245">
        <w:r>
          <w:rPr>
            <w:rStyle w:val="Hyperlink"/>
          </w:rPr>
          <w:t xml:space="preserve">https://doi.org/10.1016/j.foreco.2009.12.003</w:t>
        </w:r>
      </w:hyperlink>
    </w:p>
    <w:bookmarkEnd w:id="246"/>
    <w:bookmarkStart w:id="248"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 Growth</w:t>
      </w:r>
      <w:r>
        <w:t xml:space="preserve"> </w:t>
      </w:r>
      <w:r>
        <w:t xml:space="preserve">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7">
        <w:r>
          <w:rPr>
            <w:rStyle w:val="Hyperlink"/>
          </w:rPr>
          <w:t xml:space="preserve">https://doi.org/10.1002/2016JG003528</w:t>
        </w:r>
      </w:hyperlink>
    </w:p>
    <w:bookmarkEnd w:id="248"/>
    <w:bookmarkStart w:id="249"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9"/>
    <w:bookmarkStart w:id="25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0">
        <w:r>
          <w:rPr>
            <w:rStyle w:val="Hyperlink"/>
          </w:rPr>
          <w:t xml:space="preserve">https://doi.org/10.1038/nature12914</w:t>
        </w:r>
      </w:hyperlink>
    </w:p>
    <w:bookmarkEnd w:id="251"/>
    <w:bookmarkStart w:id="252"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2"/>
    <w:bookmarkStart w:id="25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3">
        <w:r>
          <w:rPr>
            <w:rStyle w:val="Hyperlink"/>
          </w:rPr>
          <w:t xml:space="preserve">https://doi.org/10.1088/1748-9326/11/11/114007</w:t>
        </w:r>
      </w:hyperlink>
    </w:p>
    <w:bookmarkEnd w:id="254"/>
    <w:bookmarkStart w:id="25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55">
        <w:r>
          <w:rPr>
            <w:rStyle w:val="Hyperlink"/>
          </w:rPr>
          <w:t xml:space="preserve">https://doi.org/10.1111/jvs.12025</w:t>
        </w:r>
      </w:hyperlink>
    </w:p>
    <w:bookmarkEnd w:id="256"/>
    <w:bookmarkStart w:id="258"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7">
        <w:r>
          <w:rPr>
            <w:rStyle w:val="Hyperlink"/>
          </w:rPr>
          <w:t xml:space="preserve">https://doi.org/10.1007/s11258-007-9345-2</w:t>
        </w:r>
      </w:hyperlink>
    </w:p>
    <w:bookmarkEnd w:id="258"/>
    <w:bookmarkStart w:id="260"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 A 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9">
        <w:r>
          <w:rPr>
            <w:rStyle w:val="Hyperlink"/>
          </w:rPr>
          <w:t xml:space="preserve">https://doi.org/10.1016/j.scitotenv.2020.140288</w:t>
        </w:r>
      </w:hyperlink>
    </w:p>
    <w:bookmarkEnd w:id="260"/>
    <w:bookmarkStart w:id="26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1">
        <w:r>
          <w:rPr>
            <w:rStyle w:val="Hyperlink"/>
          </w:rPr>
          <w:t xml:space="preserve">https://doi.org/10.1111/gcb.14120</w:t>
        </w:r>
      </w:hyperlink>
    </w:p>
    <w:bookmarkEnd w:id="262"/>
    <w:bookmarkStart w:id="264"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63">
        <w:r>
          <w:rPr>
            <w:rStyle w:val="Hyperlink"/>
          </w:rPr>
          <w:t xml:space="preserve">https://doi.org/10.1002/ecm.1272</w:t>
        </w:r>
      </w:hyperlink>
    </w:p>
    <w:bookmarkEnd w:id="264"/>
    <w:bookmarkStart w:id="266"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 The</w:t>
      </w:r>
      <w:r>
        <w:t xml:space="preserve"> </w:t>
      </w:r>
      <w:r>
        <w:t xml:space="preserve">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5">
        <w:r>
          <w:rPr>
            <w:rStyle w:val="Hyperlink"/>
          </w:rPr>
          <w:t xml:space="preserve">https://doi.org/10.1007/978-94-007-1242-3_2</w:t>
        </w:r>
      </w:hyperlink>
    </w:p>
    <w:bookmarkEnd w:id="266"/>
    <w:bookmarkStart w:id="26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7">
        <w:r>
          <w:rPr>
            <w:rStyle w:val="Hyperlink"/>
          </w:rPr>
          <w:t xml:space="preserve">https://doi.org/10.1002/joc.2117</w:t>
        </w:r>
      </w:hyperlink>
    </w:p>
    <w:bookmarkEnd w:id="268"/>
    <w:bookmarkStart w:id="270" w:name="ref-trouillier_size_2019"/>
    <w:p>
      <w:pPr>
        <w:pStyle w:val="Bibliography"/>
      </w:pPr>
      <w:r>
        <w:t xml:space="preserve">Trouillier, M., van der Maaten-Theunissen, M., Scharnweber, T., Würth, D., Burger, A., Schnittler, M., &amp; Wilmking, M. (2019). Size matters</w:t>
      </w:r>
      <w:r>
        <w:t xml:space="preserve"> </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9">
        <w:r>
          <w:rPr>
            <w:rStyle w:val="Hyperlink"/>
          </w:rPr>
          <w:t xml:space="preserve">https://doi.org/10.1007/s00468-018-1767-z</w:t>
        </w:r>
      </w:hyperlink>
    </w:p>
    <w:bookmarkEnd w:id="270"/>
    <w:bookmarkStart w:id="27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71">
        <w:r>
          <w:rPr>
            <w:rStyle w:val="Hyperlink"/>
          </w:rPr>
          <w:t xml:space="preserve">https://doi.org/10.1016/j.agrformet.2017.07.015</w:t>
        </w:r>
      </w:hyperlink>
    </w:p>
    <w:bookmarkEnd w:id="272"/>
    <w:bookmarkStart w:id="27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3">
        <w:r>
          <w:rPr>
            <w:rStyle w:val="Hyperlink"/>
          </w:rPr>
          <w:t xml:space="preserve">https://doi.org/10.1111/2041-210X.12590</w:t>
        </w:r>
      </w:hyperlink>
    </w:p>
    <w:bookmarkEnd w:id="274"/>
    <w:bookmarkStart w:id="276" w:name="ref-vandersleen_trends_2017"/>
    <w:p>
      <w:pPr>
        <w:pStyle w:val="Bibliography"/>
      </w:pPr>
      <w:r>
        <w:t xml:space="preserve">van der Sleen, P., Groenendijk, P., Vlam, M., Anten, N. P. R., Bongers, F., &amp; Zuidema, P. A. (2017). Trends in tropical tree growth: Re-analyses confirm earlier findings.</w:t>
      </w:r>
      <w:r>
        <w:t xml:space="preserve"> </w:t>
      </w:r>
      <w:r>
        <w:rPr>
          <w:iCs/>
          <w:i/>
        </w:rPr>
        <w:t xml:space="preserve">Global Change Biology</w:t>
      </w:r>
      <w:r>
        <w:t xml:space="preserve">,</w:t>
      </w:r>
      <w:r>
        <w:t xml:space="preserve"> </w:t>
      </w:r>
      <w:r>
        <w:rPr>
          <w:iCs/>
          <w:i/>
        </w:rPr>
        <w:t xml:space="preserve">23</w:t>
      </w:r>
      <w:r>
        <w:t xml:space="preserve">(5), 1761–1762.</w:t>
      </w:r>
      <w:r>
        <w:t xml:space="preserve"> </w:t>
      </w:r>
      <w:hyperlink r:id="rId275">
        <w:r>
          <w:rPr>
            <w:rStyle w:val="Hyperlink"/>
          </w:rPr>
          <w:t xml:space="preserve">https://doi.org/10.1111/gcb.13572</w:t>
        </w:r>
      </w:hyperlink>
    </w:p>
    <w:bookmarkEnd w:id="276"/>
    <w:bookmarkStart w:id="278"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7">
        <w:r>
          <w:rPr>
            <w:rStyle w:val="Hyperlink"/>
          </w:rPr>
          <w:t xml:space="preserve">https://doi.org/10.1038/ngeo2313</w:t>
        </w:r>
      </w:hyperlink>
    </w:p>
    <w:bookmarkEnd w:id="278"/>
    <w:bookmarkStart w:id="280"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9">
        <w:r>
          <w:rPr>
            <w:rStyle w:val="Hyperlink"/>
          </w:rPr>
          <w:t xml:space="preserve">https://doi.org/10.1007/s00442-013-2846-x</w:t>
        </w:r>
      </w:hyperlink>
    </w:p>
    <w:bookmarkEnd w:id="280"/>
    <w:bookmarkStart w:id="282"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1">
        <w:r>
          <w:rPr>
            <w:rStyle w:val="Hyperlink"/>
          </w:rPr>
          <w:t xml:space="preserve">https://doi.org/10.1890/0012-9615(2006)076[0549:HCGEDW]2.0.CO;2</w:t>
        </w:r>
      </w:hyperlink>
    </w:p>
    <w:bookmarkEnd w:id="282"/>
    <w:bookmarkStart w:id="284"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83">
        <w:r>
          <w:rPr>
            <w:rStyle w:val="Hyperlink"/>
          </w:rPr>
          <w:t xml:space="preserve">https://doi.org/10.1016/j.foreco.2009.03.007</w:t>
        </w:r>
      </w:hyperlink>
    </w:p>
    <w:bookmarkEnd w:id="284"/>
    <w:bookmarkStart w:id="286" w:name="ref-walker_integrating_2021"/>
    <w:p>
      <w:pPr>
        <w:pStyle w:val="Bibliography"/>
      </w:pPr>
      <w:r>
        <w:t xml:space="preserve">Walker, A. P., De Kauwe, M. G., Bastos, A., Belmecheri, S., Georgiou, K., Keeling, R. F., McMahon, S. M., Medlyn, B. E., Moore, D. J. P., Norby, R. J., Zaehle, S., Anderson-Teixeira, K. J., Battipaglia, G., Brienen, R. J. W., Cabugao, K. G., Cailleret, M., Campbell, E., Canadell, J. G., Ciais, P., … Zuidema, P. A. (2021). Integrating the evidence for a terrestrial carbon sink caused by increasing atmospheric</w:t>
      </w:r>
      <w:r>
        <w:t xml:space="preserve"> </w:t>
      </w:r>
      <w:r>
        <w:t xml:space="preserve">CO</w:t>
      </w:r>
      <w:r>
        <w:t xml:space="preserve"> </w:t>
      </w:r>
      <w:r>
        <w:rPr>
          <w:vertAlign w:val="subscript"/>
        </w:rPr>
        <w:t xml:space="preserve">2</w:t>
      </w:r>
      <w:r>
        <w:t xml:space="preserve">.</w:t>
      </w:r>
      <w:r>
        <w:t xml:space="preserve"> </w:t>
      </w:r>
      <w:r>
        <w:rPr>
          <w:iCs/>
          <w:i/>
        </w:rPr>
        <w:t xml:space="preserve">New Phytologist</w:t>
      </w:r>
      <w:r>
        <w:t xml:space="preserve">,</w:t>
      </w:r>
      <w:r>
        <w:t xml:space="preserve"> </w:t>
      </w:r>
      <w:r>
        <w:rPr>
          <w:iCs/>
          <w:i/>
        </w:rPr>
        <w:t xml:space="preserve">229</w:t>
      </w:r>
      <w:r>
        <w:t xml:space="preserve">(5), 2413–2445.</w:t>
      </w:r>
      <w:r>
        <w:t xml:space="preserve"> </w:t>
      </w:r>
      <w:hyperlink r:id="rId285">
        <w:r>
          <w:rPr>
            <w:rStyle w:val="Hyperlink"/>
          </w:rPr>
          <w:t xml:space="preserve">https://doi.org/10.1111/nph.16866</w:t>
        </w:r>
      </w:hyperlink>
    </w:p>
    <w:bookmarkEnd w:id="286"/>
    <w:bookmarkStart w:id="288" w:name="ref-west_increasing_2020"/>
    <w:p>
      <w:pPr>
        <w:pStyle w:val="Bibliography"/>
      </w:pPr>
      <w:r>
        <w:t xml:space="preserve">West, P. W. (2020). Do increasing respiratory costs explain the decline with age of forest growth rate?</w:t>
      </w:r>
      <w:r>
        <w:t xml:space="preserve"> </w:t>
      </w:r>
      <w:r>
        <w:rPr>
          <w:iCs/>
          <w:i/>
        </w:rPr>
        <w:t xml:space="preserve">Journal of Forestry Research</w:t>
      </w:r>
      <w:r>
        <w:t xml:space="preserve">,</w:t>
      </w:r>
      <w:r>
        <w:t xml:space="preserve"> </w:t>
      </w:r>
      <w:r>
        <w:rPr>
          <w:iCs/>
          <w:i/>
        </w:rPr>
        <w:t xml:space="preserve">31</w:t>
      </w:r>
      <w:r>
        <w:t xml:space="preserve">(3), 693–712.</w:t>
      </w:r>
      <w:r>
        <w:t xml:space="preserve"> </w:t>
      </w:r>
      <w:hyperlink r:id="rId287">
        <w:r>
          <w:rPr>
            <w:rStyle w:val="Hyperlink"/>
          </w:rPr>
          <w:t xml:space="preserve">https://doi.org/10.1007/s11676-019-01020-w</w:t>
        </w:r>
      </w:hyperlink>
    </w:p>
    <w:bookmarkEnd w:id="288"/>
    <w:bookmarkStart w:id="29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9">
        <w:r>
          <w:rPr>
            <w:rStyle w:val="Hyperlink"/>
          </w:rPr>
          <w:t xml:space="preserve">https://doi.org/10.1038/nclimate1693</w:t>
        </w:r>
      </w:hyperlink>
    </w:p>
    <w:bookmarkEnd w:id="290"/>
    <w:bookmarkStart w:id="29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1">
        <w:r>
          <w:rPr>
            <w:rStyle w:val="Hyperlink"/>
          </w:rPr>
          <w:t xml:space="preserve">https://doi.org/10.1111/gcb.15057</w:t>
        </w:r>
      </w:hyperlink>
    </w:p>
    <w:bookmarkEnd w:id="292"/>
    <w:bookmarkStart w:id="294" w:name="ref-wood_fast_2011"/>
    <w:p>
      <w:pPr>
        <w:pStyle w:val="Bibliography"/>
      </w:pPr>
      <w:r>
        <w:t xml:space="preserve">Wood, S. N. (2011). Fast stable restricted maximum likelihood and marginal likelihood estimation of semiparametric generalized linear models: Estimation 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3">
        <w:r>
          <w:rPr>
            <w:rStyle w:val="Hyperlink"/>
          </w:rPr>
          <w:t xml:space="preserve">https://doi.org/10.1111/j.1467-9868.2010.00749.x</w:t>
        </w:r>
      </w:hyperlink>
    </w:p>
    <w:bookmarkEnd w:id="294"/>
    <w:bookmarkStart w:id="29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95">
        <w:r>
          <w:rPr>
            <w:rStyle w:val="Hyperlink"/>
          </w:rPr>
          <w:t xml:space="preserve">https://doi.org/10.1191/095968399667128516</w:t>
        </w:r>
      </w:hyperlink>
    </w:p>
    <w:bookmarkEnd w:id="296"/>
    <w:bookmarkStart w:id="298" w:name="ref-zang_dendroclimatic_2013"/>
    <w:p>
      <w:pPr>
        <w:pStyle w:val="Bibliography"/>
      </w:pPr>
      <w:r>
        <w:t xml:space="preserve">Zang, C., &amp; Biondi, F. (2013). Dendroclimatic calibration in</w:t>
      </w:r>
      <w:r>
        <w:t xml:space="preserve"> </w:t>
      </w:r>
      <w:r>
        <w:t xml:space="preserve">R</w:t>
      </w:r>
      <w:r>
        <w:t xml:space="preserve">: The</w:t>
      </w:r>
      <w:r>
        <w:t xml:space="preserve"> </w:t>
      </w:r>
      <w:r>
        <w:t xml:space="preserve">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7">
        <w:r>
          <w:rPr>
            <w:rStyle w:val="Hyperlink"/>
          </w:rPr>
          <w:t xml:space="preserve">https://doi.org/10.1016/j.dendro.2012.08.001</w:t>
        </w:r>
      </w:hyperlink>
    </w:p>
    <w:bookmarkEnd w:id="298"/>
    <w:bookmarkStart w:id="300" w:name="ref-zhang_halfcentury_2015"/>
    <w:p>
      <w:pPr>
        <w:pStyle w:val="Bibliography"/>
      </w:pPr>
      <w:r>
        <w:t xml:space="preserve">Zhang, J., Huang, S., &amp; He, F. (2015). Half-century evidence from western</w:t>
      </w:r>
      <w:r>
        <w:t xml:space="preserve"> </w:t>
      </w:r>
      <w:r>
        <w:t xml:space="preserve">Canada</w:t>
      </w:r>
      <w:r>
        <w:t xml:space="preserve"> </w:t>
      </w:r>
      <w:r>
        <w:t xml:space="preserve">shows forest dynamics are primarily driven by competition followed by climate.</w:t>
      </w:r>
      <w:r>
        <w:t xml:space="preserve"> </w:t>
      </w:r>
      <w:r>
        <w:rPr>
          <w:iCs/>
          <w:i/>
        </w:rPr>
        <w:t xml:space="preserve">Proceedings of the National Academy of Sciences</w:t>
      </w:r>
      <w:r>
        <w:t xml:space="preserve">,</w:t>
      </w:r>
      <w:r>
        <w:t xml:space="preserve"> </w:t>
      </w:r>
      <w:r>
        <w:rPr>
          <w:iCs/>
          <w:i/>
        </w:rPr>
        <w:t xml:space="preserve">112</w:t>
      </w:r>
      <w:r>
        <w:t xml:space="preserve">(13), 4009–4014.</w:t>
      </w:r>
      <w:r>
        <w:t xml:space="preserve"> </w:t>
      </w:r>
      <w:hyperlink r:id="rId299">
        <w:r>
          <w:rPr>
            <w:rStyle w:val="Hyperlink"/>
          </w:rPr>
          <w:t xml:space="preserve">https://doi.org/10.1073/pnas.1420844112</w:t>
        </w:r>
      </w:hyperlink>
    </w:p>
    <w:bookmarkEnd w:id="300"/>
    <w:bookmarkStart w:id="302" w:name="ref-zuidema_tropical_2013"/>
    <w:p>
      <w:pPr>
        <w:pStyle w:val="Bibliography"/>
      </w:pPr>
      <w:r>
        <w:t xml:space="preserve">Zuidema, P. A., Baker, P. J., Groenendijk, P., Schippers, P., van der Sleen, P., Vlam, M., &amp; Sterck, F. (2013). Tropical forests and global change: Filling knowledge gaps.</w:t>
      </w:r>
      <w:r>
        <w:t xml:space="preserve"> </w:t>
      </w:r>
      <w:r>
        <w:rPr>
          <w:iCs/>
          <w:i/>
        </w:rPr>
        <w:t xml:space="preserve">Trends in Plant Science</w:t>
      </w:r>
      <w:r>
        <w:t xml:space="preserve">,</w:t>
      </w:r>
      <w:r>
        <w:t xml:space="preserve"> </w:t>
      </w:r>
      <w:r>
        <w:rPr>
          <w:iCs/>
          <w:i/>
        </w:rPr>
        <w:t xml:space="preserve">18</w:t>
      </w:r>
      <w:r>
        <w:t xml:space="preserve">(8), 413–419.</w:t>
      </w:r>
      <w:r>
        <w:t xml:space="preserve"> </w:t>
      </w:r>
      <w:hyperlink r:id="rId301">
        <w:r>
          <w:rPr>
            <w:rStyle w:val="Hyperlink"/>
          </w:rPr>
          <w:t xml:space="preserve">https://doi.org/10.1016/j.tplants.2013.05.006</w:t>
        </w:r>
      </w:hyperlink>
    </w:p>
    <w:bookmarkEnd w:id="302"/>
    <w:bookmarkStart w:id="304" w:name="ref-zuidema_recent_2020"/>
    <w:p>
      <w:pPr>
        <w:pStyle w:val="Bibliography"/>
      </w:pPr>
      <w:r>
        <w:t xml:space="preserve">Zuidema, P. A., Heinrich, I., Rahman, M., Vlam, M., Zwartsenberg, S. A., &amp; Sleen, P. (2020). Recent</w:t>
      </w:r>
      <w:r>
        <w:t xml:space="preserve"> </w:t>
      </w:r>
      <w:r>
        <w:t xml:space="preserve">CO</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3">
        <w:r>
          <w:rPr>
            <w:rStyle w:val="Hyperlink"/>
          </w:rPr>
          <w:t xml:space="preserve">https://doi.org/10.1111/gcb.15092</w:t>
        </w:r>
      </w:hyperlink>
    </w:p>
    <w:bookmarkEnd w:id="304"/>
    <w:bookmarkEnd w:id="305"/>
    <w:bookmarkEnd w:id="306"/>
    <w:sectPr w:rsidR="00300462" w:rsidSect="00F93C6A">
      <w:footerReference w:type="even" r:id="rId10"/>
      <w:footerReference w:type="default" r:id="rId9"/>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2021-10-13T11:35:25Z</dcterms:created>
  <dcterms:modified xsi:type="dcterms:W3CDTF">2021-10-13T11:35:25Z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